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881" w:rsidRPr="00183AE9" w:rsidRDefault="00E44256" w:rsidP="009D08A8">
      <w:pPr>
        <w:widowControl w:val="0"/>
        <w:tabs>
          <w:tab w:val="left" w:pos="2700"/>
          <w:tab w:val="right" w:pos="8928"/>
        </w:tabs>
        <w:autoSpaceDE w:val="0"/>
        <w:autoSpaceDN w:val="0"/>
        <w:adjustRightInd w:val="0"/>
        <w:ind w:left="3420" w:right="144" w:hanging="720"/>
        <w:rPr>
          <w:rFonts w:ascii="Arial" w:hAnsi="Arial" w:cs="Arial"/>
          <w:b/>
          <w:bCs/>
          <w:szCs w:val="20"/>
        </w:rPr>
      </w:pPr>
      <w:r w:rsidRPr="00183AE9">
        <w:rPr>
          <w:rFonts w:ascii="Arial" w:hAnsi="Arial" w:cs="Arial"/>
          <w:noProof/>
        </w:rPr>
        <w:drawing>
          <wp:anchor distT="0" distB="0" distL="114300" distR="114300" simplePos="0" relativeHeight="251657728" behindDoc="1" locked="0" layoutInCell="1" allowOverlap="1">
            <wp:simplePos x="0" y="0"/>
            <wp:positionH relativeFrom="page">
              <wp:posOffset>885825</wp:posOffset>
            </wp:positionH>
            <wp:positionV relativeFrom="page">
              <wp:posOffset>932815</wp:posOffset>
            </wp:positionV>
            <wp:extent cx="1245235" cy="1223645"/>
            <wp:effectExtent l="0" t="0" r="9525" b="3810"/>
            <wp:wrapNone/>
            <wp:docPr id="3" name="obrázek 3" descr="Svitavy_hl_papir_M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vitavy_hl_papir_MU_C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5235" cy="122364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rPr>
        <w:t>Odbor dopravy, odbor správních činností</w:t>
      </w:r>
      <w:r w:rsidR="007F5832" w:rsidRPr="00183AE9">
        <w:rPr>
          <w:rFonts w:ascii="Arial" w:hAnsi="Arial" w:cs="Arial"/>
          <w:b/>
        </w:rPr>
        <w:t xml:space="preserve"> </w:t>
      </w:r>
      <w:r w:rsidR="009D08A8">
        <w:rPr>
          <w:rFonts w:ascii="Arial" w:hAnsi="Arial" w:cs="Arial"/>
          <w:b/>
        </w:rPr>
        <w:tab/>
        <w:t>3.3.</w:t>
      </w:r>
    </w:p>
    <w:p w:rsidR="00C56881" w:rsidRPr="00183AE9" w:rsidRDefault="00C56881">
      <w:pPr>
        <w:widowControl w:val="0"/>
        <w:autoSpaceDE w:val="0"/>
        <w:autoSpaceDN w:val="0"/>
        <w:adjustRightInd w:val="0"/>
        <w:ind w:right="144"/>
        <w:jc w:val="both"/>
        <w:rPr>
          <w:rFonts w:ascii="Arial" w:hAnsi="Arial" w:cs="Arial"/>
          <w:szCs w:val="20"/>
        </w:rPr>
      </w:pPr>
    </w:p>
    <w:p w:rsidR="00C2128C" w:rsidRPr="00183AE9" w:rsidRDefault="00C2128C">
      <w:pPr>
        <w:widowControl w:val="0"/>
        <w:autoSpaceDE w:val="0"/>
        <w:autoSpaceDN w:val="0"/>
        <w:adjustRightInd w:val="0"/>
        <w:ind w:right="144"/>
        <w:jc w:val="both"/>
        <w:rPr>
          <w:rFonts w:ascii="Arial" w:hAnsi="Arial" w:cs="Arial"/>
          <w:szCs w:val="20"/>
        </w:rPr>
      </w:pPr>
    </w:p>
    <w:p w:rsidR="00C56881" w:rsidRPr="00E44256" w:rsidRDefault="00C56881" w:rsidP="00597194">
      <w:pPr>
        <w:widowControl w:val="0"/>
        <w:tabs>
          <w:tab w:val="left" w:pos="2700"/>
        </w:tabs>
        <w:autoSpaceDE w:val="0"/>
        <w:autoSpaceDN w:val="0"/>
        <w:adjustRightInd w:val="0"/>
        <w:ind w:left="5400" w:right="144" w:hanging="2700"/>
        <w:rPr>
          <w:rFonts w:ascii="Arial" w:hAnsi="Arial" w:cs="Arial"/>
          <w:szCs w:val="20"/>
        </w:rPr>
      </w:pPr>
      <w:r w:rsidRPr="00183AE9">
        <w:rPr>
          <w:rFonts w:ascii="Arial" w:hAnsi="Arial" w:cs="Arial"/>
          <w:szCs w:val="20"/>
        </w:rPr>
        <w:t xml:space="preserve">Pro jednání </w:t>
      </w:r>
      <w:r w:rsidR="00F819A6">
        <w:rPr>
          <w:rFonts w:ascii="Arial" w:hAnsi="Arial" w:cs="Arial"/>
          <w:szCs w:val="20"/>
        </w:rPr>
        <w:t>zastupitelstva</w:t>
      </w:r>
      <w:r w:rsidRPr="00183AE9">
        <w:rPr>
          <w:rFonts w:ascii="Arial" w:hAnsi="Arial" w:cs="Arial"/>
          <w:szCs w:val="20"/>
        </w:rPr>
        <w:t xml:space="preserve"> města dne</w:t>
      </w:r>
      <w:r w:rsidR="008A7DBE" w:rsidRPr="00183AE9">
        <w:rPr>
          <w:rFonts w:ascii="Arial" w:hAnsi="Arial" w:cs="Arial"/>
          <w:szCs w:val="20"/>
        </w:rPr>
        <w:t>:</w:t>
      </w:r>
      <w:r w:rsidR="006167B5" w:rsidRPr="00183AE9">
        <w:rPr>
          <w:rFonts w:ascii="Arial" w:hAnsi="Arial" w:cs="Arial"/>
          <w:szCs w:val="20"/>
        </w:rPr>
        <w:t xml:space="preserve"> </w:t>
      </w:r>
      <w:r w:rsidR="007F5832" w:rsidRPr="00183AE9">
        <w:rPr>
          <w:rFonts w:ascii="Arial" w:hAnsi="Arial" w:cs="Arial"/>
          <w:szCs w:val="20"/>
        </w:rPr>
        <w:t xml:space="preserve"> </w:t>
      </w:r>
      <w:proofErr w:type="gramStart"/>
      <w:r w:rsidR="00955A86">
        <w:rPr>
          <w:rFonts w:ascii="Arial" w:hAnsi="Arial" w:cs="Arial"/>
          <w:szCs w:val="20"/>
        </w:rPr>
        <w:t>16</w:t>
      </w:r>
      <w:r w:rsidR="008A27F0">
        <w:rPr>
          <w:rFonts w:ascii="Arial" w:hAnsi="Arial" w:cs="Arial"/>
          <w:szCs w:val="20"/>
        </w:rPr>
        <w:t>.06.202</w:t>
      </w:r>
      <w:r w:rsidR="00955A86">
        <w:rPr>
          <w:rFonts w:ascii="Arial" w:hAnsi="Arial" w:cs="Arial"/>
          <w:szCs w:val="20"/>
        </w:rPr>
        <w:t>5</w:t>
      </w:r>
      <w:proofErr w:type="gramEnd"/>
    </w:p>
    <w:p w:rsidR="00872D41" w:rsidRPr="00183AE9" w:rsidRDefault="00C56881" w:rsidP="00872D41">
      <w:pPr>
        <w:widowControl w:val="0"/>
        <w:autoSpaceDE w:val="0"/>
        <w:autoSpaceDN w:val="0"/>
        <w:adjustRightInd w:val="0"/>
        <w:ind w:left="3780" w:right="144" w:hanging="1080"/>
        <w:rPr>
          <w:rFonts w:ascii="Arial" w:hAnsi="Arial" w:cs="Arial"/>
          <w:szCs w:val="20"/>
        </w:rPr>
      </w:pPr>
      <w:r w:rsidRPr="00183AE9">
        <w:rPr>
          <w:rFonts w:ascii="Arial" w:hAnsi="Arial" w:cs="Arial"/>
          <w:bCs/>
          <w:szCs w:val="20"/>
        </w:rPr>
        <w:t>Zpracoval:</w:t>
      </w:r>
      <w:r w:rsidR="007F5832" w:rsidRPr="00183AE9">
        <w:rPr>
          <w:rFonts w:ascii="Arial" w:hAnsi="Arial" w:cs="Arial"/>
          <w:bCs/>
          <w:szCs w:val="20"/>
        </w:rPr>
        <w:t xml:space="preserve"> </w:t>
      </w:r>
      <w:r w:rsidR="00872D41">
        <w:rPr>
          <w:rFonts w:ascii="Arial" w:hAnsi="Arial" w:cs="Arial"/>
          <w:bCs/>
          <w:szCs w:val="20"/>
        </w:rPr>
        <w:t>Bc. Jana Šneková, Mgr. Zuzana Moravcová</w:t>
      </w:r>
    </w:p>
    <w:p w:rsidR="00C56881" w:rsidRPr="00183AE9" w:rsidRDefault="00C56881" w:rsidP="00872D41">
      <w:pPr>
        <w:widowControl w:val="0"/>
        <w:autoSpaceDE w:val="0"/>
        <w:autoSpaceDN w:val="0"/>
        <w:adjustRightInd w:val="0"/>
        <w:ind w:left="3780" w:right="144" w:hanging="1080"/>
        <w:rPr>
          <w:rFonts w:ascii="Arial" w:hAnsi="Arial" w:cs="Arial"/>
          <w:szCs w:val="20"/>
        </w:rPr>
      </w:pPr>
      <w:r w:rsidRPr="00183AE9">
        <w:rPr>
          <w:rFonts w:ascii="Arial" w:hAnsi="Arial" w:cs="Arial"/>
          <w:bCs/>
          <w:szCs w:val="20"/>
        </w:rPr>
        <w:t>Předkládá:</w:t>
      </w:r>
      <w:r w:rsidR="007F5832" w:rsidRPr="00183AE9">
        <w:rPr>
          <w:rFonts w:ascii="Arial" w:hAnsi="Arial" w:cs="Arial"/>
          <w:bCs/>
          <w:szCs w:val="20"/>
        </w:rPr>
        <w:t xml:space="preserve"> </w:t>
      </w:r>
      <w:r w:rsidR="00E44256">
        <w:rPr>
          <w:rFonts w:ascii="Arial" w:hAnsi="Arial" w:cs="Arial"/>
          <w:bCs/>
          <w:szCs w:val="20"/>
        </w:rPr>
        <w:t>rada města</w:t>
      </w:r>
    </w:p>
    <w:p w:rsidR="00C56881" w:rsidRPr="00183AE9" w:rsidRDefault="00C56881">
      <w:pPr>
        <w:widowControl w:val="0"/>
        <w:autoSpaceDE w:val="0"/>
        <w:autoSpaceDN w:val="0"/>
        <w:adjustRightInd w:val="0"/>
        <w:ind w:right="144"/>
        <w:jc w:val="both"/>
        <w:rPr>
          <w:rFonts w:ascii="Arial" w:hAnsi="Arial" w:cs="Arial"/>
          <w:szCs w:val="20"/>
        </w:rPr>
      </w:pPr>
    </w:p>
    <w:p w:rsidR="00C56881" w:rsidRPr="00183AE9" w:rsidRDefault="00C56881">
      <w:pPr>
        <w:widowControl w:val="0"/>
        <w:autoSpaceDE w:val="0"/>
        <w:autoSpaceDN w:val="0"/>
        <w:adjustRightInd w:val="0"/>
        <w:ind w:right="144"/>
        <w:jc w:val="both"/>
        <w:rPr>
          <w:rFonts w:ascii="Arial" w:hAnsi="Arial" w:cs="Arial"/>
          <w:szCs w:val="20"/>
        </w:rPr>
      </w:pPr>
    </w:p>
    <w:p w:rsidR="00C56881" w:rsidRPr="00183AE9" w:rsidRDefault="00C56881">
      <w:pPr>
        <w:widowControl w:val="0"/>
        <w:autoSpaceDE w:val="0"/>
        <w:autoSpaceDN w:val="0"/>
        <w:adjustRightInd w:val="0"/>
        <w:ind w:right="144"/>
        <w:jc w:val="both"/>
        <w:rPr>
          <w:rFonts w:ascii="Arial" w:hAnsi="Arial" w:cs="Arial"/>
          <w:b/>
          <w:sz w:val="28"/>
          <w:szCs w:val="28"/>
          <w:u w:val="single"/>
        </w:rPr>
      </w:pPr>
    </w:p>
    <w:p w:rsidR="00C56881" w:rsidRPr="00183AE9" w:rsidRDefault="00C56881">
      <w:pPr>
        <w:widowControl w:val="0"/>
        <w:tabs>
          <w:tab w:val="left" w:pos="2452"/>
        </w:tabs>
        <w:autoSpaceDE w:val="0"/>
        <w:autoSpaceDN w:val="0"/>
        <w:adjustRightInd w:val="0"/>
        <w:ind w:right="144"/>
        <w:jc w:val="both"/>
        <w:rPr>
          <w:rFonts w:ascii="Arial" w:hAnsi="Arial" w:cs="Arial"/>
          <w:b/>
          <w:sz w:val="28"/>
          <w:szCs w:val="28"/>
        </w:rPr>
      </w:pPr>
      <w:r w:rsidRPr="00183AE9">
        <w:rPr>
          <w:rFonts w:ascii="Arial" w:hAnsi="Arial" w:cs="Arial"/>
          <w:b/>
          <w:sz w:val="28"/>
          <w:szCs w:val="28"/>
        </w:rPr>
        <w:tab/>
      </w:r>
    </w:p>
    <w:p w:rsidR="00955A86" w:rsidRPr="00A27C43" w:rsidRDefault="00955A86" w:rsidP="00955A86">
      <w:pPr>
        <w:widowControl w:val="0"/>
        <w:autoSpaceDE w:val="0"/>
        <w:autoSpaceDN w:val="0"/>
        <w:adjustRightInd w:val="0"/>
        <w:ind w:right="144"/>
        <w:jc w:val="both"/>
        <w:rPr>
          <w:b/>
          <w:u w:val="single"/>
        </w:rPr>
      </w:pPr>
      <w:bookmarkStart w:id="0" w:name="Text2"/>
      <w:bookmarkStart w:id="1" w:name="Text1"/>
      <w:r w:rsidRPr="005E4312">
        <w:rPr>
          <w:rFonts w:ascii="Arial" w:hAnsi="Arial" w:cs="Arial"/>
          <w:b/>
          <w:sz w:val="28"/>
          <w:u w:val="single"/>
        </w:rPr>
        <w:t>Rozbor přestupků zpracovaných v roce 20</w:t>
      </w:r>
      <w:r>
        <w:rPr>
          <w:rFonts w:ascii="Arial" w:hAnsi="Arial" w:cs="Arial"/>
          <w:b/>
          <w:sz w:val="28"/>
          <w:u w:val="single"/>
        </w:rPr>
        <w:t>24</w:t>
      </w:r>
      <w:r w:rsidRPr="005E4312">
        <w:rPr>
          <w:rFonts w:ascii="Arial" w:hAnsi="Arial" w:cs="Arial"/>
          <w:b/>
          <w:sz w:val="28"/>
          <w:u w:val="single"/>
        </w:rPr>
        <w:t xml:space="preserve"> na Městském úřadu Svitavy</w:t>
      </w:r>
      <w:r w:rsidRPr="005E4312">
        <w:rPr>
          <w:b/>
          <w:sz w:val="28"/>
          <w:u w:val="single"/>
        </w:rPr>
        <w:t xml:space="preserve"> </w:t>
      </w:r>
    </w:p>
    <w:p w:rsidR="00955A86" w:rsidRPr="00183AE9" w:rsidRDefault="00955A86" w:rsidP="00955A86">
      <w:pPr>
        <w:widowControl w:val="0"/>
        <w:autoSpaceDE w:val="0"/>
        <w:autoSpaceDN w:val="0"/>
        <w:adjustRightInd w:val="0"/>
        <w:ind w:right="144"/>
        <w:jc w:val="both"/>
        <w:rPr>
          <w:rFonts w:ascii="Arial" w:hAnsi="Arial" w:cs="Arial"/>
          <w:b/>
          <w:sz w:val="28"/>
          <w:szCs w:val="28"/>
          <w:u w:val="single"/>
        </w:rPr>
      </w:pPr>
    </w:p>
    <w:p w:rsidR="00955A86" w:rsidRDefault="00955A86" w:rsidP="00955A86">
      <w:pPr>
        <w:widowControl w:val="0"/>
        <w:autoSpaceDE w:val="0"/>
        <w:autoSpaceDN w:val="0"/>
        <w:adjustRightInd w:val="0"/>
        <w:ind w:right="144"/>
        <w:jc w:val="both"/>
        <w:rPr>
          <w:rFonts w:ascii="Arial" w:hAnsi="Arial" w:cs="Arial"/>
          <w:b/>
        </w:rPr>
      </w:pPr>
      <w:r w:rsidRPr="00183AE9">
        <w:rPr>
          <w:rFonts w:ascii="Arial" w:hAnsi="Arial" w:cs="Arial"/>
          <w:b/>
        </w:rPr>
        <w:t>Důvodová zpráva:</w:t>
      </w:r>
    </w:p>
    <w:p w:rsidR="00955A86" w:rsidRPr="00183AE9" w:rsidRDefault="00955A86" w:rsidP="00955A86">
      <w:pPr>
        <w:widowControl w:val="0"/>
        <w:autoSpaceDE w:val="0"/>
        <w:autoSpaceDN w:val="0"/>
        <w:adjustRightInd w:val="0"/>
        <w:ind w:right="144"/>
        <w:jc w:val="both"/>
        <w:rPr>
          <w:rFonts w:ascii="Arial" w:hAnsi="Arial" w:cs="Arial"/>
          <w:b/>
        </w:rPr>
      </w:pPr>
    </w:p>
    <w:p w:rsidR="00955A86" w:rsidRPr="00D4466D" w:rsidRDefault="00955A86" w:rsidP="00955A86">
      <w:pPr>
        <w:jc w:val="both"/>
        <w:rPr>
          <w:rFonts w:ascii="Arial" w:hAnsi="Arial" w:cs="Arial"/>
          <w:sz w:val="22"/>
          <w:szCs w:val="22"/>
        </w:rPr>
      </w:pPr>
      <w:bookmarkStart w:id="2" w:name="_Hlk194489396"/>
      <w:r w:rsidRPr="00D4466D">
        <w:rPr>
          <w:rFonts w:ascii="Arial" w:hAnsi="Arial" w:cs="Arial"/>
          <w:b/>
          <w:sz w:val="22"/>
          <w:szCs w:val="22"/>
        </w:rPr>
        <w:t>Odbor dopravy</w:t>
      </w:r>
      <w:r w:rsidRPr="00D4466D">
        <w:rPr>
          <w:rFonts w:ascii="Arial" w:hAnsi="Arial" w:cs="Arial"/>
          <w:sz w:val="22"/>
          <w:szCs w:val="22"/>
        </w:rPr>
        <w:t xml:space="preserve"> měl v roce 2024 na úseku bezpečnosti a plynulosti provozu na pozemních komunikacích ke zpracování 9 863 přestupků. Největší zastoupení mají přestupky zaznamenané automatizovaným technickým prostředkem bez obsluhy (dále jen „ATP“) v obci Svitavy a v obci Opatov. Z radarů bylo oznámeno 9 171 přestupků a 692 případů tvořily ostatní přestupky.</w:t>
      </w:r>
    </w:p>
    <w:bookmarkEnd w:id="2"/>
    <w:p w:rsidR="00955A86" w:rsidRPr="00D4466D" w:rsidRDefault="00955A86" w:rsidP="00955A86">
      <w:pPr>
        <w:jc w:val="both"/>
        <w:rPr>
          <w:rFonts w:ascii="Arial" w:hAnsi="Arial" w:cs="Arial"/>
          <w:sz w:val="22"/>
          <w:szCs w:val="22"/>
        </w:rPr>
      </w:pPr>
    </w:p>
    <w:p w:rsidR="00955A86" w:rsidRPr="00D4466D" w:rsidRDefault="00955A86" w:rsidP="00955A86">
      <w:pPr>
        <w:jc w:val="both"/>
        <w:rPr>
          <w:rFonts w:ascii="Arial" w:hAnsi="Arial" w:cs="Arial"/>
          <w:b/>
          <w:bCs/>
          <w:sz w:val="22"/>
          <w:szCs w:val="22"/>
        </w:rPr>
      </w:pPr>
      <w:r w:rsidRPr="00D4466D">
        <w:rPr>
          <w:rFonts w:ascii="Arial" w:hAnsi="Arial" w:cs="Arial"/>
          <w:b/>
          <w:bCs/>
          <w:sz w:val="22"/>
          <w:szCs w:val="22"/>
          <w:u w:val="single"/>
        </w:rPr>
        <w:t xml:space="preserve">OBJEKTIVNÍ ODPOVĚDNOST PROVOZOVATELE </w:t>
      </w:r>
      <w:proofErr w:type="gramStart"/>
      <w:r w:rsidRPr="00D4466D">
        <w:rPr>
          <w:rFonts w:ascii="Arial" w:hAnsi="Arial" w:cs="Arial"/>
          <w:b/>
          <w:bCs/>
          <w:sz w:val="22"/>
          <w:szCs w:val="22"/>
          <w:u w:val="single"/>
        </w:rPr>
        <w:t xml:space="preserve">VOZIDLA </w:t>
      </w:r>
      <w:r w:rsidRPr="00D4466D">
        <w:rPr>
          <w:rFonts w:ascii="Arial" w:hAnsi="Arial" w:cs="Arial"/>
          <w:b/>
          <w:bCs/>
          <w:sz w:val="22"/>
          <w:szCs w:val="22"/>
        </w:rPr>
        <w:t>:</w:t>
      </w:r>
      <w:proofErr w:type="gramEnd"/>
      <w:r w:rsidRPr="00D4466D">
        <w:rPr>
          <w:rFonts w:ascii="Arial" w:hAnsi="Arial" w:cs="Arial"/>
          <w:b/>
          <w:bCs/>
          <w:sz w:val="22"/>
          <w:szCs w:val="22"/>
        </w:rPr>
        <w:t xml:space="preserve"> </w:t>
      </w:r>
    </w:p>
    <w:p w:rsidR="00955A86" w:rsidRPr="00D4466D" w:rsidRDefault="00955A86" w:rsidP="00955A86">
      <w:pPr>
        <w:jc w:val="both"/>
        <w:rPr>
          <w:rFonts w:ascii="Arial" w:hAnsi="Arial" w:cs="Arial"/>
          <w:b/>
          <w:bCs/>
          <w:sz w:val="22"/>
          <w:szCs w:val="22"/>
        </w:rPr>
      </w:pPr>
    </w:p>
    <w:p w:rsidR="00955A86" w:rsidRPr="00D4466D" w:rsidRDefault="00955A86" w:rsidP="00955A86">
      <w:pPr>
        <w:numPr>
          <w:ilvl w:val="0"/>
          <w:numId w:val="7"/>
        </w:numPr>
        <w:spacing w:after="160" w:line="259" w:lineRule="auto"/>
        <w:jc w:val="both"/>
        <w:rPr>
          <w:rFonts w:ascii="Arial" w:hAnsi="Arial" w:cs="Arial"/>
          <w:b/>
          <w:bCs/>
          <w:sz w:val="22"/>
          <w:szCs w:val="22"/>
        </w:rPr>
      </w:pPr>
      <w:r w:rsidRPr="00D4466D">
        <w:rPr>
          <w:rFonts w:ascii="Arial" w:hAnsi="Arial" w:cs="Arial"/>
          <w:b/>
          <w:bCs/>
          <w:sz w:val="22"/>
          <w:szCs w:val="22"/>
        </w:rPr>
        <w:t>bez automatizovaného technického prostředku</w:t>
      </w:r>
    </w:p>
    <w:p w:rsidR="00955A86" w:rsidRPr="00D4466D" w:rsidRDefault="00955A86" w:rsidP="00955A86">
      <w:pPr>
        <w:ind w:left="1097"/>
        <w:jc w:val="both"/>
        <w:rPr>
          <w:rFonts w:ascii="Arial" w:hAnsi="Arial" w:cs="Arial"/>
          <w:color w:val="000000" w:themeColor="text1"/>
          <w:sz w:val="22"/>
          <w:szCs w:val="22"/>
        </w:rPr>
      </w:pPr>
      <w:r w:rsidRPr="00D4466D">
        <w:rPr>
          <w:rFonts w:ascii="Arial" w:hAnsi="Arial" w:cs="Arial"/>
          <w:color w:val="000000" w:themeColor="text1"/>
          <w:sz w:val="22"/>
          <w:szCs w:val="22"/>
        </w:rPr>
        <w:t xml:space="preserve">Jedná se o porušení povinnosti provozovatele vozidla, který odpovídá za to, aby při užití vozidla na pozemní komunikaci byly dodržovány povinnosti řidiče a pravidla provozu na pozemních komunikacích. Jde zejména o přestupky, kdy není po jejich spáchání na místě ztotožněn řidič vozidla. Celkem bylo oznámeno 153 přestupků provozovatele vozidla, což je o 49 případů méně oproti předchozímu roku. Z toho 113 přestupků se týkalo neoprávněného zastavení nebo stání a 40 přestupků se týkalo překročení nejvyšší dovolené rychlosti v obci nebo mimo obec (zjištěno ATP). Ve všech případech byla provozovateli zaslána výzva k zaplacení určené částky, která byla </w:t>
      </w:r>
      <w:proofErr w:type="gramStart"/>
      <w:r w:rsidRPr="00D4466D">
        <w:rPr>
          <w:rFonts w:ascii="Arial" w:hAnsi="Arial" w:cs="Arial"/>
          <w:color w:val="000000" w:themeColor="text1"/>
          <w:sz w:val="22"/>
          <w:szCs w:val="22"/>
        </w:rPr>
        <w:t>ve 108</w:t>
      </w:r>
      <w:proofErr w:type="gramEnd"/>
      <w:r w:rsidRPr="00D4466D">
        <w:rPr>
          <w:rFonts w:ascii="Arial" w:hAnsi="Arial" w:cs="Arial"/>
          <w:color w:val="000000" w:themeColor="text1"/>
          <w:sz w:val="22"/>
          <w:szCs w:val="22"/>
        </w:rPr>
        <w:t xml:space="preserve"> případech zaplacena. V 41 případech výzva zaplacena nebyla, a proto byl případ řešen ve správním řízení (vydáním příkazu). Pouze ve 4 případech bylo oznámení odloženo, neboť neodůvodňovalo zahájení řízení. </w:t>
      </w:r>
    </w:p>
    <w:p w:rsidR="00955A86" w:rsidRPr="00D4466D" w:rsidRDefault="00955A86" w:rsidP="00955A86">
      <w:pPr>
        <w:ind w:left="1097"/>
        <w:jc w:val="both"/>
        <w:rPr>
          <w:rFonts w:ascii="Arial" w:hAnsi="Arial" w:cs="Arial"/>
          <w:sz w:val="22"/>
          <w:szCs w:val="22"/>
        </w:rPr>
      </w:pPr>
    </w:p>
    <w:p w:rsidR="00955A86" w:rsidRPr="00D4466D" w:rsidRDefault="00955A86" w:rsidP="00955A86">
      <w:pPr>
        <w:numPr>
          <w:ilvl w:val="0"/>
          <w:numId w:val="7"/>
        </w:numPr>
        <w:spacing w:after="160" w:line="259" w:lineRule="auto"/>
        <w:jc w:val="both"/>
        <w:rPr>
          <w:rFonts w:ascii="Arial" w:hAnsi="Arial" w:cs="Arial"/>
          <w:b/>
          <w:bCs/>
          <w:sz w:val="22"/>
          <w:szCs w:val="22"/>
        </w:rPr>
      </w:pPr>
      <w:r w:rsidRPr="00D4466D">
        <w:rPr>
          <w:rFonts w:ascii="Arial" w:hAnsi="Arial" w:cs="Arial"/>
          <w:b/>
          <w:bCs/>
          <w:sz w:val="22"/>
          <w:szCs w:val="22"/>
        </w:rPr>
        <w:t xml:space="preserve">automatizovaný technický prostředek bez obsluhy (radary) </w:t>
      </w:r>
    </w:p>
    <w:p w:rsidR="00955A86" w:rsidRPr="00D4466D" w:rsidRDefault="00955A86" w:rsidP="00955A86">
      <w:pPr>
        <w:ind w:left="1097"/>
        <w:jc w:val="both"/>
        <w:rPr>
          <w:rFonts w:ascii="Arial" w:hAnsi="Arial" w:cs="Arial"/>
          <w:color w:val="000000" w:themeColor="text1"/>
          <w:sz w:val="22"/>
          <w:szCs w:val="22"/>
        </w:rPr>
      </w:pPr>
      <w:r w:rsidRPr="00D4466D">
        <w:rPr>
          <w:rFonts w:ascii="Arial" w:hAnsi="Arial" w:cs="Arial"/>
          <w:color w:val="000000" w:themeColor="text1"/>
          <w:sz w:val="22"/>
          <w:szCs w:val="22"/>
        </w:rPr>
        <w:t>Do konce roku 2024 bylo oznámeno správnímu orgánu celkem 9 171 přestupků v souvislosti s úsekovým měřením rychlosti vozidel na silnici č. I/43 v obci Svitavy a v obci Opatov. Oproti roku 2023 je to o 1 501 přestupků více. V obci Svitavy bylo zjištěno překročení rychlosti v 941 případech a v obci Opatov v 8 230 případech. V cca 1 409 případech byl oznámen neznámý provozovatel, a to především z důvodu nepropojenosti českých a cizích registrů vozidel (např. ukrajinský registr vozidel). Dále u většiny případů na základě vydané výzvy byla určená částka provozovatelem uhrazena. V případech, kde provozovatel vozidla svoji povinnost nesplnil a určenou částku neuhradil, bylo zahájeno správní řízení. V roce 2024 bylo provozovatelem vozidla nahlášeno celkem cca 157 řidičů. Správní orgán s těmito řidiči zahájil správní řízení. V případech, kde nebyl shledán řidič vinným (nebylo prokázáno, že skutečně řídil) se vedlo řízení s provozovatelem vozidla v rámci objektivní odpovědnosti.</w:t>
      </w:r>
    </w:p>
    <w:p w:rsidR="00955A86" w:rsidRPr="00D4466D" w:rsidRDefault="00955A86" w:rsidP="00955A86">
      <w:pPr>
        <w:ind w:left="1097"/>
        <w:jc w:val="both"/>
        <w:rPr>
          <w:rFonts w:ascii="Arial" w:hAnsi="Arial" w:cs="Arial"/>
          <w:sz w:val="22"/>
          <w:szCs w:val="22"/>
        </w:rPr>
      </w:pPr>
    </w:p>
    <w:p w:rsidR="00955A86" w:rsidRPr="00D4466D" w:rsidRDefault="00955A86" w:rsidP="00955A86">
      <w:pPr>
        <w:jc w:val="both"/>
        <w:rPr>
          <w:rFonts w:ascii="Arial" w:hAnsi="Arial" w:cs="Arial"/>
          <w:b/>
          <w:bCs/>
          <w:sz w:val="22"/>
          <w:szCs w:val="22"/>
        </w:rPr>
      </w:pPr>
      <w:r w:rsidRPr="00D4466D">
        <w:rPr>
          <w:rFonts w:ascii="Arial" w:hAnsi="Arial" w:cs="Arial"/>
          <w:b/>
          <w:bCs/>
          <w:sz w:val="22"/>
          <w:szCs w:val="22"/>
          <w:u w:val="single"/>
        </w:rPr>
        <w:lastRenderedPageBreak/>
        <w:t>DOPRAVNÍ NEHODY</w:t>
      </w:r>
      <w:r w:rsidRPr="00D4466D">
        <w:rPr>
          <w:rFonts w:ascii="Arial" w:hAnsi="Arial" w:cs="Arial"/>
          <w:b/>
          <w:bCs/>
          <w:sz w:val="22"/>
          <w:szCs w:val="22"/>
        </w:rPr>
        <w:t xml:space="preserve"> </w:t>
      </w: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Jako každý rok mezi nejnáročnější na projednávání (dokazování) jsou přestupky týkající se dopravních nehod. V roce 2024 měl správní orgán k řešení cca 57 případů, kdy značný pokles oproti předchozím obdobím je dán výstavbou dvou kruhových objezdů na silnici č. I/35 (Lačnov a tzv. „Spáleniště“) a obchvatu obce Svitavy spolu s rozšířením křižovatky silnice č. I/43 v katastru obce Hradec nad Svitavou (tzv. „Zavadilka“). </w:t>
      </w:r>
    </w:p>
    <w:p w:rsidR="00955A86" w:rsidRPr="00D4466D" w:rsidRDefault="00955A86" w:rsidP="00955A86">
      <w:pPr>
        <w:jc w:val="both"/>
        <w:rPr>
          <w:rFonts w:ascii="Arial" w:hAnsi="Arial" w:cs="Arial"/>
          <w:sz w:val="22"/>
          <w:szCs w:val="22"/>
        </w:rPr>
      </w:pPr>
    </w:p>
    <w:p w:rsidR="00955A86" w:rsidRDefault="00955A86" w:rsidP="00955A86">
      <w:pPr>
        <w:jc w:val="both"/>
        <w:rPr>
          <w:rFonts w:ascii="Arial" w:hAnsi="Arial" w:cs="Arial"/>
          <w:sz w:val="22"/>
          <w:szCs w:val="22"/>
        </w:rPr>
      </w:pPr>
      <w:r w:rsidRPr="00D4466D">
        <w:rPr>
          <w:rFonts w:ascii="Arial" w:hAnsi="Arial" w:cs="Arial"/>
          <w:sz w:val="22"/>
          <w:szCs w:val="22"/>
        </w:rPr>
        <w:t xml:space="preserve">Obecnou příčinou dopravních nehod bylo nedodržení bezpečnostní vzdálenosti, nepřizpůsobení jízdy stavu pozemní komunikace a také, jako v předchozích letech, nedání přednosti v jízdě či dopravní nehody způsobené při předjíždění vozidel. Nejvíce správní orgán řešil dopravních nehod, kdy řidič při vyjíždění z parkovacího místa (parkoviště u obchodních center či parkoviště na sídlištích) nesledoval řádně situaci v provozu na pozemních komunikacích a poškodil svůj nebo cizí majetek. Při objasňování těchto dopravních nehod velmi napomáhá městský kamerový systém. U všech dopravních nehod došlo pouze k hmotné škodě na majetku bez vážného zranění osob, tudíž správní orgán žádného řidiče netrestal za přestupek dopravní nehody, při které je jinému ublíženo na zdraví, spolu s uložením zákazu činnosti všech motorových vozidel. </w:t>
      </w:r>
    </w:p>
    <w:p w:rsidR="00955A86" w:rsidRPr="00D4466D" w:rsidRDefault="00955A86" w:rsidP="00955A86">
      <w:pPr>
        <w:jc w:val="both"/>
        <w:rPr>
          <w:rFonts w:ascii="Arial" w:hAnsi="Arial" w:cs="Arial"/>
          <w:sz w:val="22"/>
          <w:szCs w:val="22"/>
        </w:rPr>
      </w:pPr>
    </w:p>
    <w:p w:rsidR="00955A86" w:rsidRPr="00D4466D" w:rsidRDefault="00955A86" w:rsidP="00955A86">
      <w:pPr>
        <w:jc w:val="both"/>
        <w:rPr>
          <w:rFonts w:ascii="Arial" w:hAnsi="Arial" w:cs="Arial"/>
          <w:b/>
          <w:bCs/>
          <w:sz w:val="22"/>
          <w:szCs w:val="22"/>
          <w:u w:val="single"/>
        </w:rPr>
      </w:pPr>
      <w:r w:rsidRPr="00D4466D">
        <w:rPr>
          <w:rFonts w:ascii="Arial" w:hAnsi="Arial" w:cs="Arial"/>
          <w:b/>
          <w:bCs/>
          <w:sz w:val="22"/>
          <w:szCs w:val="22"/>
          <w:u w:val="single"/>
        </w:rPr>
        <w:t>OSTATNÍ OZNÁMENÉ PŘESTUPKY</w:t>
      </w: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V 91 případech se jednalo o přestupky spočívající v řízení ať už motorového či nemotorového vozidla (jízdní kolo / koloběžka) pod vlivem alkoholu nebo jiné návykové látky, kdy v 1 případě byla následkem dopravní nehoda. Ve srovnání s rokem 2023 opět narostl počet řidičů, kteří odmítli orientační nebo odborné lékařské vyšetření, zda při řízení vozidla nejsou ovlivněni alkoholem nebo jinou návykovou látkou (22). Dalších 29 řidičů řídilo motorové vozidlo bez příslušného řidičského oprávnění, což je o jednotky nižší počet oproti loňskému roku. 23 řidičů překročilo maximální dovolenou rychlost v obci nebo mimo obec (přestupek zjištěn hlídkou Městské policie Svitavy nebo Policií České republiky), kdy pouze v 6 případech byl za toto jednání uložen správní trest - zákaz činnosti spočívající v zákazu řízení všech motorových vozidel. </w:t>
      </w:r>
    </w:p>
    <w:p w:rsidR="00955A86" w:rsidRPr="00D4466D" w:rsidRDefault="00955A86" w:rsidP="00955A86">
      <w:pPr>
        <w:jc w:val="both"/>
        <w:rPr>
          <w:rFonts w:ascii="Arial" w:hAnsi="Arial" w:cs="Arial"/>
          <w:sz w:val="22"/>
          <w:szCs w:val="22"/>
        </w:rPr>
      </w:pPr>
    </w:p>
    <w:p w:rsidR="00955A86" w:rsidRPr="00D4466D" w:rsidRDefault="00955A86" w:rsidP="00955A86">
      <w:pPr>
        <w:jc w:val="both"/>
        <w:rPr>
          <w:rFonts w:ascii="Arial" w:hAnsi="Arial" w:cs="Arial"/>
          <w:color w:val="000000"/>
          <w:sz w:val="22"/>
          <w:szCs w:val="22"/>
        </w:rPr>
      </w:pPr>
      <w:r w:rsidRPr="00D4466D">
        <w:rPr>
          <w:rFonts w:ascii="Arial" w:hAnsi="Arial" w:cs="Arial"/>
          <w:sz w:val="22"/>
          <w:szCs w:val="22"/>
        </w:rPr>
        <w:t xml:space="preserve">Poklesl počet přestupků (98) oproti roku 2023 (o 35), které byly spáchány </w:t>
      </w:r>
      <w:proofErr w:type="spellStart"/>
      <w:r w:rsidRPr="00D4466D">
        <w:rPr>
          <w:rFonts w:ascii="Arial" w:hAnsi="Arial" w:cs="Arial"/>
          <w:sz w:val="22"/>
          <w:szCs w:val="22"/>
        </w:rPr>
        <w:t>nízkorychlostním</w:t>
      </w:r>
      <w:proofErr w:type="spellEnd"/>
      <w:r w:rsidRPr="00D4466D">
        <w:rPr>
          <w:rFonts w:ascii="Arial" w:hAnsi="Arial" w:cs="Arial"/>
          <w:sz w:val="22"/>
          <w:szCs w:val="22"/>
        </w:rPr>
        <w:t xml:space="preserve"> kontrolním vážením, při kterém bylo zjištěno, že vozidla překračují maximální povolenou hmotnost. Oproti předchozím letům došlo k výraznému poklesu přestupků, při kterých nebyly splněny povinnosti stanovené v zákoně o pojištění odpovědnosti z provozu vozidla, tedy případy, kdy provozovatel (vlastník) motorového vozidla neměl toto vozidlo pojištěné a případy, kdy řidič motorového vozidla na výzvu příslušníků Policie České republiky při silniční kontrole nepředložil zelenou kartu od pojištění vozidla, neboť s novelou zákona tato povinnost řidičům ubyla. V 31 případech bylo v provozu na pozemních komunikacích užito vozidlo, které nebylo technicky způsobilé k jeho provozu, zpravidla se jednalo o vozidla, která neměla platnou pravidelnou státní technickou prohlídku. Ve spojitosti s provozováním vozidla bylo oznámeno 13 přestupků s porušením přepisu změny vlastníka po převodu vlastnického práva k vozidlu, kdy tito vlastníci vozidlo prodali, ale již do 10 pracovních dnů nepožádali o zápis změny vlastníka silničního vozidla na registru vozidel. Pátým rokem byly řešeny přestupky (6), kterých se fyzická, fyzická podnikající a právnická osoba dopustila tím, že </w:t>
      </w:r>
      <w:r w:rsidRPr="00D4466D">
        <w:rPr>
          <w:rFonts w:ascii="Arial" w:hAnsi="Arial" w:cs="Arial"/>
          <w:color w:val="000000"/>
          <w:sz w:val="22"/>
          <w:szCs w:val="22"/>
        </w:rPr>
        <w:t xml:space="preserve">odstavila silniční vozidlo na pozemní komunikaci, které po dobu více než 6 měsíců nesmí být podle zákona o podmínkách provozu vozidel na pozemních komunikacích provozováno z důvodu marného uplynutí lhůty pro provedení pravidelné technické prohlídky nebo jeho technickou nezpůsobilost. Zbylou skupinou jsou přestupky, kde řidič vozidla není za jízdy připoután bezpečnostním pásem, drží v ruce nebo jiným způsobem telefonní přístroj nebo jiné hovorové nebo záznamové zařízení, nerespektuje dopravní značení, či zvolí nesprávný způsob jízdy apod. V mnoha případech dochází k tomu, že jedním oznámením podezřelé osoby (případem) dochází k souběhu spáchání několika skutkových podstat přestupků, které jsou následně řešeny ve společném řízení. </w:t>
      </w:r>
    </w:p>
    <w:p w:rsidR="00955A86" w:rsidRPr="00D4466D" w:rsidRDefault="00955A86" w:rsidP="00955A86">
      <w:pPr>
        <w:jc w:val="both"/>
        <w:rPr>
          <w:rFonts w:ascii="Arial" w:hAnsi="Arial" w:cs="Arial"/>
          <w:sz w:val="22"/>
          <w:szCs w:val="22"/>
        </w:rPr>
      </w:pPr>
    </w:p>
    <w:p w:rsidR="00955A86" w:rsidRPr="00D4466D" w:rsidRDefault="00955A86" w:rsidP="00955A86">
      <w:pPr>
        <w:jc w:val="both"/>
        <w:rPr>
          <w:rFonts w:ascii="Arial" w:hAnsi="Arial" w:cs="Arial"/>
          <w:sz w:val="22"/>
          <w:szCs w:val="22"/>
        </w:rPr>
      </w:pPr>
      <w:r w:rsidRPr="00D4466D">
        <w:rPr>
          <w:rFonts w:ascii="Arial" w:hAnsi="Arial" w:cs="Arial"/>
          <w:sz w:val="22"/>
          <w:szCs w:val="22"/>
        </w:rPr>
        <w:lastRenderedPageBreak/>
        <w:t xml:space="preserve">Proti rozhodnutí správního orgánu bylo v roce 2024 podáno více odvolání než v roce 2023, a to 33 odvolání. </w:t>
      </w:r>
    </w:p>
    <w:p w:rsidR="00955A86" w:rsidRPr="00D4466D" w:rsidRDefault="00955A86" w:rsidP="00955A86">
      <w:pPr>
        <w:jc w:val="both"/>
        <w:rPr>
          <w:rFonts w:ascii="Arial" w:hAnsi="Arial" w:cs="Arial"/>
          <w:sz w:val="22"/>
          <w:szCs w:val="22"/>
        </w:rPr>
      </w:pPr>
    </w:p>
    <w:p w:rsidR="00955A86" w:rsidRPr="00D4466D" w:rsidRDefault="00955A86" w:rsidP="00955A86">
      <w:pPr>
        <w:ind w:right="51"/>
        <w:jc w:val="both"/>
        <w:rPr>
          <w:rFonts w:ascii="Arial" w:hAnsi="Arial" w:cs="Arial"/>
          <w:sz w:val="22"/>
          <w:szCs w:val="22"/>
        </w:rPr>
      </w:pPr>
      <w:r w:rsidRPr="00D4466D">
        <w:rPr>
          <w:rFonts w:ascii="Arial" w:hAnsi="Arial" w:cs="Arial"/>
          <w:sz w:val="22"/>
          <w:szCs w:val="22"/>
        </w:rPr>
        <w:t xml:space="preserve">Stejně jako v minulých letech i v roce 2024 se stále objevuje mnoho případů, kdy dochází k zneužívání práva a k procesním obstrukcím ze strany účastníků přestupkového řízení, či případně jejich zmocněnců, kteří využívají právní nástroje k maření nebo zdržování správního řízení. Mezi typické případy patří </w:t>
      </w:r>
      <w:proofErr w:type="spellStart"/>
      <w:r w:rsidRPr="00D4466D">
        <w:rPr>
          <w:rFonts w:ascii="Arial" w:hAnsi="Arial" w:cs="Arial"/>
          <w:sz w:val="22"/>
          <w:szCs w:val="22"/>
        </w:rPr>
        <w:t>např</w:t>
      </w:r>
      <w:proofErr w:type="spellEnd"/>
      <w:r w:rsidRPr="00D4466D">
        <w:rPr>
          <w:rFonts w:ascii="Arial" w:hAnsi="Arial" w:cs="Arial"/>
          <w:sz w:val="22"/>
          <w:szCs w:val="22"/>
        </w:rPr>
        <w:t xml:space="preserve">: </w:t>
      </w:r>
    </w:p>
    <w:p w:rsidR="00955A86" w:rsidRPr="00D4466D" w:rsidRDefault="00955A86" w:rsidP="00955A86">
      <w:pPr>
        <w:pStyle w:val="Normlnweb"/>
        <w:numPr>
          <w:ilvl w:val="0"/>
          <w:numId w:val="8"/>
        </w:numPr>
        <w:jc w:val="both"/>
        <w:rPr>
          <w:rFonts w:ascii="Arial" w:hAnsi="Arial" w:cs="Arial"/>
          <w:sz w:val="22"/>
          <w:szCs w:val="22"/>
        </w:rPr>
      </w:pPr>
      <w:r w:rsidRPr="00D4466D">
        <w:rPr>
          <w:rStyle w:val="Siln"/>
          <w:rFonts w:ascii="Arial" w:hAnsi="Arial" w:cs="Arial"/>
          <w:sz w:val="22"/>
          <w:szCs w:val="22"/>
        </w:rPr>
        <w:t>Neoprávněné poskytování právních služeb - n</w:t>
      </w:r>
      <w:r w:rsidRPr="00D4466D">
        <w:rPr>
          <w:rFonts w:ascii="Arial" w:hAnsi="Arial" w:cs="Arial"/>
          <w:sz w:val="22"/>
          <w:szCs w:val="22"/>
        </w:rPr>
        <w:t>ěkteří obecní zmocněnci poskytují právní pomoc bez odpovídající kvalifikace, což vede k deformaci řízení a obstrukčním praktikám.</w:t>
      </w:r>
    </w:p>
    <w:p w:rsidR="00955A86" w:rsidRPr="00D4466D" w:rsidRDefault="00955A86" w:rsidP="00955A86">
      <w:pPr>
        <w:pStyle w:val="Normlnweb"/>
        <w:numPr>
          <w:ilvl w:val="0"/>
          <w:numId w:val="8"/>
        </w:numPr>
        <w:jc w:val="both"/>
        <w:rPr>
          <w:rFonts w:ascii="Arial" w:hAnsi="Arial" w:cs="Arial"/>
          <w:sz w:val="22"/>
          <w:szCs w:val="22"/>
        </w:rPr>
      </w:pPr>
      <w:r w:rsidRPr="00D4466D">
        <w:rPr>
          <w:rStyle w:val="Siln"/>
          <w:rFonts w:ascii="Arial" w:hAnsi="Arial" w:cs="Arial"/>
          <w:sz w:val="22"/>
          <w:szCs w:val="22"/>
        </w:rPr>
        <w:t>Účelové podávání námitek -</w:t>
      </w:r>
      <w:r w:rsidRPr="00D4466D">
        <w:rPr>
          <w:rFonts w:ascii="Arial" w:hAnsi="Arial" w:cs="Arial"/>
          <w:sz w:val="22"/>
          <w:szCs w:val="22"/>
        </w:rPr>
        <w:t xml:space="preserve"> účastníci řízení podávají opakované námitky nebo odvolání bez skutečného právního základu, pouze za účelem prodloužení řízení.</w:t>
      </w:r>
    </w:p>
    <w:p w:rsidR="00955A86" w:rsidRPr="00D4466D" w:rsidRDefault="00955A86" w:rsidP="00955A86">
      <w:pPr>
        <w:pStyle w:val="Normlnweb"/>
        <w:numPr>
          <w:ilvl w:val="0"/>
          <w:numId w:val="8"/>
        </w:numPr>
        <w:jc w:val="both"/>
        <w:rPr>
          <w:rFonts w:ascii="Arial" w:hAnsi="Arial" w:cs="Arial"/>
          <w:sz w:val="22"/>
          <w:szCs w:val="22"/>
        </w:rPr>
      </w:pPr>
      <w:r w:rsidRPr="00D4466D">
        <w:rPr>
          <w:rStyle w:val="Siln"/>
          <w:rFonts w:ascii="Arial" w:hAnsi="Arial" w:cs="Arial"/>
          <w:sz w:val="22"/>
          <w:szCs w:val="22"/>
        </w:rPr>
        <w:t>Zneužívání institutu zastoupení -</w:t>
      </w:r>
      <w:r w:rsidRPr="00D4466D">
        <w:rPr>
          <w:rFonts w:ascii="Arial" w:hAnsi="Arial" w:cs="Arial"/>
          <w:sz w:val="22"/>
          <w:szCs w:val="22"/>
        </w:rPr>
        <w:t xml:space="preserve"> někteří zmocněnci využívají institut zastoupení k obstrukčním praktikám, jako je záměrné zdržování komunikace nebo podávání neodůvodněných návrhů.</w:t>
      </w:r>
    </w:p>
    <w:p w:rsidR="00955A86" w:rsidRPr="00D4466D" w:rsidRDefault="00955A86" w:rsidP="00955A86">
      <w:pPr>
        <w:pStyle w:val="Normlnweb"/>
        <w:numPr>
          <w:ilvl w:val="0"/>
          <w:numId w:val="8"/>
        </w:numPr>
        <w:jc w:val="both"/>
        <w:rPr>
          <w:rFonts w:ascii="Arial" w:hAnsi="Arial" w:cs="Arial"/>
          <w:sz w:val="22"/>
          <w:szCs w:val="22"/>
        </w:rPr>
      </w:pPr>
      <w:r w:rsidRPr="00D4466D">
        <w:rPr>
          <w:rStyle w:val="Siln"/>
          <w:rFonts w:ascii="Arial" w:hAnsi="Arial" w:cs="Arial"/>
          <w:sz w:val="22"/>
          <w:szCs w:val="22"/>
        </w:rPr>
        <w:t>Manipulace s důkazy -</w:t>
      </w:r>
      <w:r w:rsidRPr="00D4466D">
        <w:rPr>
          <w:rFonts w:ascii="Arial" w:hAnsi="Arial" w:cs="Arial"/>
          <w:sz w:val="22"/>
          <w:szCs w:val="22"/>
        </w:rPr>
        <w:t xml:space="preserve"> účastníci řízení záměrně předkládají neúplné nebo zavádějící důkazy, aby zkomplikovali rozhodování správního orgánu.</w:t>
      </w:r>
    </w:p>
    <w:p w:rsidR="00955A86" w:rsidRPr="00D4466D" w:rsidRDefault="00955A86" w:rsidP="00955A86">
      <w:pPr>
        <w:pStyle w:val="Normlnweb"/>
        <w:rPr>
          <w:rFonts w:ascii="Arial" w:hAnsi="Arial" w:cs="Arial"/>
          <w:sz w:val="22"/>
          <w:szCs w:val="22"/>
        </w:rPr>
      </w:pPr>
      <w:r w:rsidRPr="00D4466D">
        <w:rPr>
          <w:rFonts w:ascii="Arial" w:hAnsi="Arial" w:cs="Arial"/>
          <w:sz w:val="22"/>
          <w:szCs w:val="22"/>
        </w:rPr>
        <w:t xml:space="preserve">Tyto praktiky nejen narušují průběh řízení, ale také zvyšují administrativní zátěž správních orgánů. </w:t>
      </w:r>
    </w:p>
    <w:p w:rsidR="00955A86" w:rsidRPr="00D4466D" w:rsidRDefault="00955A86" w:rsidP="00955A86">
      <w:pPr>
        <w:jc w:val="both"/>
        <w:rPr>
          <w:rFonts w:ascii="Arial" w:hAnsi="Arial" w:cs="Arial"/>
          <w:b/>
          <w:bCs/>
          <w:sz w:val="22"/>
          <w:szCs w:val="22"/>
          <w:u w:val="single"/>
        </w:rPr>
      </w:pPr>
      <w:r w:rsidRPr="00D4466D">
        <w:rPr>
          <w:rFonts w:ascii="Arial" w:hAnsi="Arial" w:cs="Arial"/>
          <w:b/>
          <w:bCs/>
          <w:sz w:val="22"/>
          <w:szCs w:val="22"/>
          <w:u w:val="single"/>
        </w:rPr>
        <w:t xml:space="preserve">PŘIDĚLENÉ BODY ZA PŘESTUPKOVÉ JEDNÁNÍ </w:t>
      </w:r>
    </w:p>
    <w:p w:rsidR="00955A86" w:rsidRPr="00D4466D" w:rsidRDefault="00955A86" w:rsidP="00955A86">
      <w:pPr>
        <w:pStyle w:val="Normlnweb"/>
        <w:spacing w:before="0" w:beforeAutospacing="0" w:after="0" w:afterAutospacing="0"/>
        <w:jc w:val="both"/>
        <w:rPr>
          <w:rFonts w:ascii="Arial" w:hAnsi="Arial" w:cs="Arial"/>
          <w:sz w:val="22"/>
          <w:szCs w:val="22"/>
        </w:rPr>
      </w:pPr>
      <w:r w:rsidRPr="00D4466D">
        <w:rPr>
          <w:rFonts w:ascii="Arial" w:hAnsi="Arial" w:cs="Arial"/>
          <w:sz w:val="22"/>
          <w:szCs w:val="22"/>
        </w:rPr>
        <w:t>V roce 2024 došlo, k několika významným změnám v bodovém systému pro řidiče. Nový systém přinesl z</w:t>
      </w:r>
      <w:r w:rsidRPr="00D4466D">
        <w:rPr>
          <w:rStyle w:val="Siln"/>
          <w:rFonts w:ascii="Arial" w:hAnsi="Arial" w:cs="Arial"/>
          <w:sz w:val="22"/>
          <w:szCs w:val="22"/>
        </w:rPr>
        <w:t>jednodušení bodového systému, kdy m</w:t>
      </w:r>
      <w:r w:rsidRPr="00D4466D">
        <w:rPr>
          <w:rFonts w:ascii="Arial" w:hAnsi="Arial" w:cs="Arial"/>
          <w:sz w:val="22"/>
          <w:szCs w:val="22"/>
        </w:rPr>
        <w:t xml:space="preserve">ísto pěti různých sazeb bodů byly zavedeny pouze tři – 2, 4 a 6 bodů. </w:t>
      </w:r>
    </w:p>
    <w:p w:rsidR="00955A86" w:rsidRPr="00D4466D" w:rsidRDefault="00955A86" w:rsidP="00955A86">
      <w:pPr>
        <w:pStyle w:val="Normlnweb"/>
        <w:spacing w:before="0" w:beforeAutospacing="0" w:after="0" w:afterAutospacing="0"/>
        <w:jc w:val="both"/>
        <w:rPr>
          <w:rFonts w:ascii="Arial" w:hAnsi="Arial" w:cs="Arial"/>
          <w:sz w:val="22"/>
          <w:szCs w:val="22"/>
        </w:rPr>
      </w:pPr>
    </w:p>
    <w:p w:rsidR="00955A86" w:rsidRPr="00D4466D" w:rsidRDefault="00955A86" w:rsidP="00955A86">
      <w:pPr>
        <w:jc w:val="both"/>
        <w:rPr>
          <w:rFonts w:ascii="Arial" w:hAnsi="Arial" w:cs="Arial"/>
          <w:sz w:val="22"/>
          <w:szCs w:val="22"/>
        </w:rPr>
      </w:pPr>
      <w:r w:rsidRPr="00D4466D">
        <w:rPr>
          <w:rFonts w:ascii="Arial" w:hAnsi="Arial" w:cs="Arial"/>
          <w:sz w:val="22"/>
          <w:szCs w:val="22"/>
        </w:rPr>
        <w:t>Z celkového počtu evidovaných řidičů v roce 2024 (23 034) byl 1 202 řidičům za jejich přestupkové jednání započítán stanovený počet bodů v registru řidičů. Nejvíce řidičů (474) získalo 4 body. V roce 2023 bylo nejvíce řidičů s 2 body. 22 řidičů získalo 12 bodů a tím na rok přišlo o řidičské oprávnění.</w:t>
      </w:r>
    </w:p>
    <w:p w:rsidR="00955A86" w:rsidRPr="00D4466D" w:rsidRDefault="00955A86" w:rsidP="00955A86">
      <w:pPr>
        <w:jc w:val="both"/>
        <w:rPr>
          <w:rFonts w:ascii="Arial" w:hAnsi="Arial" w:cs="Arial"/>
          <w:b/>
          <w:bCs/>
          <w:sz w:val="22"/>
          <w:szCs w:val="22"/>
          <w:u w:val="single"/>
        </w:rPr>
      </w:pPr>
    </w:p>
    <w:p w:rsidR="00955A86" w:rsidRPr="00D4466D" w:rsidRDefault="00955A86" w:rsidP="00955A86">
      <w:pPr>
        <w:jc w:val="both"/>
        <w:rPr>
          <w:rFonts w:ascii="Arial" w:hAnsi="Arial" w:cs="Arial"/>
          <w:b/>
          <w:bCs/>
          <w:sz w:val="22"/>
          <w:szCs w:val="22"/>
          <w:u w:val="single"/>
        </w:rPr>
      </w:pPr>
      <w:r w:rsidRPr="00D4466D">
        <w:rPr>
          <w:rFonts w:ascii="Arial" w:hAnsi="Arial" w:cs="Arial"/>
          <w:b/>
          <w:bCs/>
          <w:sz w:val="22"/>
          <w:szCs w:val="22"/>
          <w:u w:val="single"/>
        </w:rPr>
        <w:t>ZADRŽENÉ ŘIDIČSKÉ PRŮKAZY</w:t>
      </w:r>
    </w:p>
    <w:p w:rsidR="00955A86" w:rsidRPr="00D4466D" w:rsidRDefault="00955A86" w:rsidP="00955A86">
      <w:pPr>
        <w:jc w:val="both"/>
        <w:rPr>
          <w:rFonts w:ascii="Arial" w:hAnsi="Arial" w:cs="Arial"/>
          <w:sz w:val="22"/>
          <w:szCs w:val="22"/>
        </w:rPr>
      </w:pPr>
      <w:r w:rsidRPr="00D4466D">
        <w:rPr>
          <w:rFonts w:ascii="Arial" w:hAnsi="Arial" w:cs="Arial"/>
          <w:sz w:val="22"/>
          <w:szCs w:val="22"/>
        </w:rPr>
        <w:t>V 80 případech byl Policií České republiky zadržen řidičský průkaz, což je oproti předešlému roku o 25 případů více. Správní orgán v 5 případech řidičský průkaz zaslal na Ministerstvo dopravy České republiky, neboť držitelem řidičského průkazu byl cizinec. V 8 případech zadržený řidičský průkaz postoupil obci s rozšířenou působností, kde držitel řidičského průkazu měl trvalý pobyt, jelikož držitel řidičského průkazu měl povinnost, z důvodu zákazu činnosti spočívající v zákazu řízení všech motorových vozidel, odevzdat tento řidičský průkaz a správní orgán v těchto věcech nemohl zahájit řízení o zadržení řidičského průkazu. V 67 případech bylo pravomocně rozhodnuto o zadržení řidičského průkazu do doby pravomocného rozhodnutí o samotném přestupku nebo trestném činu.</w:t>
      </w:r>
    </w:p>
    <w:p w:rsidR="00955A86" w:rsidRPr="00D4466D" w:rsidRDefault="00955A86" w:rsidP="00955A86">
      <w:pPr>
        <w:jc w:val="both"/>
        <w:rPr>
          <w:rFonts w:ascii="Arial" w:hAnsi="Arial" w:cs="Arial"/>
          <w:b/>
          <w:bCs/>
          <w:sz w:val="22"/>
          <w:szCs w:val="22"/>
          <w:u w:val="single"/>
        </w:rPr>
      </w:pPr>
    </w:p>
    <w:p w:rsidR="00955A86" w:rsidRPr="00D4466D" w:rsidRDefault="00955A86" w:rsidP="00955A86">
      <w:pPr>
        <w:jc w:val="both"/>
        <w:rPr>
          <w:rFonts w:ascii="Arial" w:hAnsi="Arial" w:cs="Arial"/>
          <w:b/>
          <w:bCs/>
          <w:sz w:val="22"/>
          <w:szCs w:val="22"/>
          <w:u w:val="single"/>
        </w:rPr>
      </w:pPr>
      <w:r w:rsidRPr="00D4466D">
        <w:rPr>
          <w:rFonts w:ascii="Arial" w:hAnsi="Arial" w:cs="Arial"/>
          <w:b/>
          <w:bCs/>
          <w:sz w:val="22"/>
          <w:szCs w:val="22"/>
          <w:u w:val="single"/>
        </w:rPr>
        <w:t>ZDRAVOTNÍ ZPŮSOBILOST K ŘÍZENÍ MOTOROVÝCH VOZIDEL</w:t>
      </w:r>
    </w:p>
    <w:p w:rsidR="00955A86" w:rsidRPr="00D4466D" w:rsidRDefault="00955A86" w:rsidP="00955A86">
      <w:pPr>
        <w:jc w:val="both"/>
        <w:rPr>
          <w:rFonts w:ascii="Arial" w:hAnsi="Arial" w:cs="Arial"/>
          <w:sz w:val="22"/>
          <w:szCs w:val="22"/>
        </w:rPr>
      </w:pPr>
      <w:r w:rsidRPr="00D4466D">
        <w:rPr>
          <w:rFonts w:ascii="Arial" w:hAnsi="Arial" w:cs="Arial"/>
          <w:sz w:val="22"/>
          <w:szCs w:val="22"/>
        </w:rPr>
        <w:t>V roce 2024 bylo zahájeno 44 správních řízení o odejmutí řidičského oprávnění z důvodu ztráty zdravotní způsobilosti k řízení motorových vozidel, což je o 10 případů více oproti roku 2023. V 7 případech bylo řízení zastaveno, 21 řidičům bylo řidičské oprávnění odňato a 12 případů bylo postoupeno pro místní nepříslušnost. Ve zbylých případech správní řízení stále probíhá.</w:t>
      </w:r>
    </w:p>
    <w:p w:rsidR="00955A86" w:rsidRDefault="00955A86" w:rsidP="00955A86">
      <w:pPr>
        <w:rPr>
          <w:rFonts w:ascii="Arial" w:hAnsi="Arial" w:cs="Arial"/>
          <w:b/>
          <w:bCs/>
          <w:sz w:val="22"/>
          <w:szCs w:val="22"/>
          <w:u w:val="single"/>
        </w:rPr>
      </w:pPr>
    </w:p>
    <w:p w:rsidR="00955A86" w:rsidRPr="00D4466D" w:rsidRDefault="00955A86" w:rsidP="00955A86">
      <w:pPr>
        <w:rPr>
          <w:rFonts w:ascii="Arial" w:hAnsi="Arial" w:cs="Arial"/>
          <w:b/>
          <w:bCs/>
          <w:sz w:val="22"/>
          <w:szCs w:val="22"/>
          <w:u w:val="single"/>
        </w:rPr>
      </w:pPr>
    </w:p>
    <w:p w:rsidR="00955A86" w:rsidRPr="00D4466D" w:rsidRDefault="00955A86" w:rsidP="00955A86">
      <w:pPr>
        <w:jc w:val="both"/>
        <w:rPr>
          <w:rFonts w:ascii="Arial" w:hAnsi="Arial" w:cs="Arial"/>
          <w:b/>
          <w:bCs/>
          <w:sz w:val="22"/>
          <w:szCs w:val="22"/>
          <w:u w:val="single"/>
        </w:rPr>
      </w:pPr>
      <w:r w:rsidRPr="00D4466D">
        <w:rPr>
          <w:rFonts w:ascii="Arial" w:hAnsi="Arial" w:cs="Arial"/>
          <w:b/>
          <w:bCs/>
          <w:sz w:val="22"/>
          <w:szCs w:val="22"/>
          <w:u w:val="single"/>
        </w:rPr>
        <w:t>UPUŠTĚNÍ OD ZBYTKU SPRÁVNÍHO TRESTU A VRÁCENÍ ŘIDIČSKÉHO OPRÁVNĚNÍ</w:t>
      </w:r>
    </w:p>
    <w:p w:rsidR="00955A86" w:rsidRPr="00D4466D" w:rsidRDefault="00955A86" w:rsidP="00955A86">
      <w:pPr>
        <w:jc w:val="both"/>
        <w:rPr>
          <w:rFonts w:ascii="Arial" w:hAnsi="Arial" w:cs="Arial"/>
          <w:b/>
          <w:bCs/>
          <w:sz w:val="22"/>
          <w:szCs w:val="22"/>
          <w:u w:val="single"/>
        </w:rPr>
      </w:pPr>
      <w:r w:rsidRPr="00D4466D">
        <w:rPr>
          <w:rFonts w:ascii="Arial" w:hAnsi="Arial" w:cs="Arial"/>
          <w:sz w:val="22"/>
          <w:szCs w:val="22"/>
        </w:rPr>
        <w:t xml:space="preserve">V 72 případech bylo vyhověno žádosti o upuštění zbytku zákazu činnosti spočívající v zákazu řízení motorových vozidel, v roce 2023 to bylo 38 žádostí. V 81 případech bylo vyhověno </w:t>
      </w:r>
      <w:r w:rsidRPr="00D4466D">
        <w:rPr>
          <w:rFonts w:ascii="Arial" w:hAnsi="Arial" w:cs="Arial"/>
          <w:sz w:val="22"/>
          <w:szCs w:val="22"/>
        </w:rPr>
        <w:lastRenderedPageBreak/>
        <w:t xml:space="preserve">žádosti o vrácení řidičského oprávnění po uplynutí správního trestu a v 8 případech bylo vyhověno žádosti o vrácení řidičského oprávnění po „vybodování“.  </w:t>
      </w:r>
    </w:p>
    <w:p w:rsidR="00955A86" w:rsidRPr="00D4466D" w:rsidRDefault="00955A86" w:rsidP="00955A86">
      <w:pPr>
        <w:jc w:val="both"/>
        <w:rPr>
          <w:rFonts w:ascii="Arial" w:hAnsi="Arial" w:cs="Arial"/>
          <w:b/>
          <w:bCs/>
          <w:sz w:val="22"/>
          <w:szCs w:val="22"/>
          <w:u w:val="single"/>
        </w:rPr>
      </w:pPr>
    </w:p>
    <w:p w:rsidR="00955A86" w:rsidRPr="00D4466D" w:rsidRDefault="00955A86" w:rsidP="00955A86">
      <w:pPr>
        <w:jc w:val="both"/>
        <w:rPr>
          <w:rFonts w:ascii="Arial" w:hAnsi="Arial" w:cs="Arial"/>
          <w:b/>
          <w:bCs/>
          <w:sz w:val="22"/>
          <w:szCs w:val="22"/>
          <w:u w:val="single"/>
        </w:rPr>
      </w:pPr>
      <w:r w:rsidRPr="00D4466D">
        <w:rPr>
          <w:rFonts w:ascii="Arial" w:hAnsi="Arial" w:cs="Arial"/>
          <w:b/>
          <w:bCs/>
          <w:sz w:val="22"/>
          <w:szCs w:val="22"/>
          <w:u w:val="single"/>
        </w:rPr>
        <w:t>PŘIBRÁNÍ SOUDNÍHO ZNALCE</w:t>
      </w:r>
    </w:p>
    <w:p w:rsidR="00955A86" w:rsidRPr="00D4466D" w:rsidRDefault="00955A86" w:rsidP="00955A86">
      <w:pPr>
        <w:jc w:val="both"/>
        <w:rPr>
          <w:rFonts w:ascii="Arial" w:hAnsi="Arial" w:cs="Arial"/>
          <w:sz w:val="22"/>
          <w:szCs w:val="22"/>
        </w:rPr>
      </w:pPr>
      <w:r w:rsidRPr="00D4466D">
        <w:rPr>
          <w:rFonts w:ascii="Arial" w:hAnsi="Arial" w:cs="Arial"/>
          <w:sz w:val="22"/>
          <w:szCs w:val="22"/>
        </w:rPr>
        <w:t>V 10 případech byl ke stanovení přesné výše omamné látky v těle pachatele přizván soudní znalec z oboru toxikologie a všechny tyto případy řešil správní orgán, jelikož z žádného znaleckého posudku nevyplynulo, že by se jednalo o přečin ohrožení pod vlivem návykové látky podle § 274 trestního zákoníku. V průběhu roku 2024 nebylo potřeba přibrat znalce v oblasti řešení průběhu dopravních nehod.</w:t>
      </w:r>
    </w:p>
    <w:p w:rsidR="00955A86" w:rsidRPr="00D4466D" w:rsidRDefault="00955A86" w:rsidP="00955A86">
      <w:pPr>
        <w:jc w:val="both"/>
        <w:rPr>
          <w:rFonts w:ascii="Arial" w:hAnsi="Arial" w:cs="Arial"/>
          <w:b/>
          <w:bCs/>
          <w:sz w:val="22"/>
          <w:szCs w:val="22"/>
          <w:u w:val="single"/>
        </w:rPr>
      </w:pPr>
    </w:p>
    <w:p w:rsidR="00955A86" w:rsidRPr="00D4466D" w:rsidRDefault="00955A86" w:rsidP="00955A86">
      <w:pPr>
        <w:jc w:val="both"/>
        <w:rPr>
          <w:rFonts w:ascii="Arial" w:hAnsi="Arial" w:cs="Arial"/>
          <w:b/>
          <w:bCs/>
          <w:sz w:val="22"/>
          <w:szCs w:val="22"/>
          <w:u w:val="single"/>
        </w:rPr>
      </w:pPr>
      <w:r w:rsidRPr="00D4466D">
        <w:rPr>
          <w:rFonts w:ascii="Arial" w:hAnsi="Arial" w:cs="Arial"/>
          <w:b/>
          <w:bCs/>
          <w:sz w:val="22"/>
          <w:szCs w:val="22"/>
          <w:u w:val="single"/>
        </w:rPr>
        <w:t>POKUTY ZA PŘESTUPKOVÉ JEDNÁNÍ</w:t>
      </w: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V  roce  2024  správní  orgán </w:t>
      </w:r>
      <w:proofErr w:type="gramStart"/>
      <w:r w:rsidRPr="00D4466D">
        <w:rPr>
          <w:rFonts w:ascii="Arial" w:hAnsi="Arial" w:cs="Arial"/>
          <w:sz w:val="22"/>
          <w:szCs w:val="22"/>
        </w:rPr>
        <w:t>vystavil  platební</w:t>
      </w:r>
      <w:proofErr w:type="gramEnd"/>
      <w:r w:rsidRPr="00D4466D">
        <w:rPr>
          <w:rFonts w:ascii="Arial" w:hAnsi="Arial" w:cs="Arial"/>
          <w:sz w:val="22"/>
          <w:szCs w:val="22"/>
        </w:rPr>
        <w:t xml:space="preserve"> předpisy ve výši 9.880.000 Kč z toho 6.780.000 Kč týkajících se přestupků zjištěných pomocí ATP. Zaplaceno </w:t>
      </w:r>
      <w:proofErr w:type="gramStart"/>
      <w:r w:rsidRPr="00D4466D">
        <w:rPr>
          <w:rFonts w:ascii="Arial" w:hAnsi="Arial" w:cs="Arial"/>
          <w:sz w:val="22"/>
          <w:szCs w:val="22"/>
        </w:rPr>
        <w:t>bylo  7.810.000</w:t>
      </w:r>
      <w:proofErr w:type="gramEnd"/>
      <w:r w:rsidRPr="00D4466D">
        <w:rPr>
          <w:rFonts w:ascii="Arial" w:hAnsi="Arial" w:cs="Arial"/>
          <w:sz w:val="22"/>
          <w:szCs w:val="22"/>
        </w:rPr>
        <w:t xml:space="preserve"> Kč, z toho 5.590.000 Kč za ATP. Některé platby za přestupky spáchané v předešlých letech byly uhrazeny začátkem roku 2025. Nezaplacené pokuty byly předány k vymáhání v exekučním řízení.</w:t>
      </w:r>
    </w:p>
    <w:p w:rsidR="00955A86" w:rsidRPr="00D4466D" w:rsidRDefault="00955A86" w:rsidP="00955A86">
      <w:pPr>
        <w:jc w:val="both"/>
        <w:rPr>
          <w:rFonts w:ascii="Arial" w:hAnsi="Arial" w:cs="Arial"/>
          <w:sz w:val="22"/>
          <w:szCs w:val="22"/>
        </w:rPr>
      </w:pPr>
    </w:p>
    <w:p w:rsidR="00955A86" w:rsidRPr="00D4466D" w:rsidRDefault="00955A86" w:rsidP="00955A86">
      <w:pPr>
        <w:jc w:val="both"/>
        <w:rPr>
          <w:rFonts w:ascii="Arial" w:hAnsi="Arial" w:cs="Arial"/>
          <w:sz w:val="22"/>
          <w:szCs w:val="22"/>
        </w:rPr>
      </w:pPr>
    </w:p>
    <w:p w:rsidR="00955A86" w:rsidRPr="00D4466D" w:rsidRDefault="00955A86" w:rsidP="00955A86">
      <w:pPr>
        <w:jc w:val="both"/>
        <w:rPr>
          <w:rFonts w:ascii="Arial" w:hAnsi="Arial" w:cs="Arial"/>
          <w:sz w:val="22"/>
          <w:szCs w:val="22"/>
        </w:rPr>
      </w:pPr>
      <w:r w:rsidRPr="00D4466D">
        <w:rPr>
          <w:rFonts w:ascii="Arial" w:hAnsi="Arial" w:cs="Arial"/>
          <w:b/>
          <w:sz w:val="22"/>
          <w:szCs w:val="22"/>
        </w:rPr>
        <w:t>Odboru správních činností – oddělení přestupkovému</w:t>
      </w:r>
      <w:r w:rsidRPr="00D4466D">
        <w:rPr>
          <w:rFonts w:ascii="Arial" w:hAnsi="Arial" w:cs="Arial"/>
          <w:sz w:val="22"/>
          <w:szCs w:val="22"/>
        </w:rPr>
        <w:t xml:space="preserve"> (dále jen správní orgán) jsou v převážné většině přestupky oznamovány Obvodním oddělením Policie ČR ve Svitavách, Oddělením obecné kriminality SKPV Policie ČR ve Svitavách, dále Městskou policií Svitavy a Okresním soudem ve Svitavách. V roce 2024 se správní orgán zabýval jak případy, které byly v tomto roce oznámeny, tak případy, které přecházely z roku 2023. Jednalo se o věci, které byly doručeny správnímu orgánu ke konci roku, anebo o ty, u kterých nebylo ukončeno řízení, zahájené v roce 2023. V mnoha věcech dochází k tomu, že jedním oznámením podezřelé osoby (případem) dochází k souběhu spáchání několika skutkových podstat přestupků, které jsou následně řešeny ve společném řízení, nicméně s každou skutkovou podstatou je nutné se vypořádat a řádně odůvodnit zvolený postup.</w:t>
      </w:r>
    </w:p>
    <w:p w:rsidR="00955A86" w:rsidRPr="00D4466D" w:rsidRDefault="00955A86" w:rsidP="00955A86">
      <w:pPr>
        <w:jc w:val="both"/>
        <w:rPr>
          <w:rFonts w:ascii="Arial" w:hAnsi="Arial" w:cs="Arial"/>
          <w:sz w:val="22"/>
          <w:szCs w:val="22"/>
        </w:rPr>
      </w:pP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Stejně jako v letech předchozích tvořily opět největší skupinu z projednávaných věcí </w:t>
      </w:r>
      <w:r w:rsidRPr="00D4466D">
        <w:rPr>
          <w:rFonts w:ascii="Arial" w:hAnsi="Arial" w:cs="Arial"/>
          <w:b/>
          <w:sz w:val="22"/>
          <w:szCs w:val="22"/>
        </w:rPr>
        <w:t>přestupky proti občanskému soužití</w:t>
      </w:r>
      <w:r w:rsidRPr="00D4466D">
        <w:rPr>
          <w:rFonts w:ascii="Arial" w:hAnsi="Arial" w:cs="Arial"/>
          <w:sz w:val="22"/>
          <w:szCs w:val="22"/>
        </w:rPr>
        <w:t xml:space="preserve">, a to 308 přestupků. Jedná se zejména o ublížení na zdraví, vyhrožování újmou na zdraví, schválnosti, jiná hrubá jednání nebo hrubé urážky na cti a to jak mezi rodinnými příslušníky, tak i o neshody a narušené vztahy mezi sousedy, známými anebo i cizími lidmi, apod. </w:t>
      </w: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Další větší skupinu tvoří </w:t>
      </w:r>
      <w:r w:rsidRPr="00D4466D">
        <w:rPr>
          <w:rFonts w:ascii="Arial" w:hAnsi="Arial" w:cs="Arial"/>
          <w:b/>
          <w:sz w:val="22"/>
          <w:szCs w:val="22"/>
        </w:rPr>
        <w:t>přestupky proti majetku</w:t>
      </w:r>
      <w:r w:rsidRPr="00D4466D">
        <w:rPr>
          <w:rFonts w:ascii="Arial" w:hAnsi="Arial" w:cs="Arial"/>
          <w:sz w:val="22"/>
          <w:szCs w:val="22"/>
        </w:rPr>
        <w:t xml:space="preserve">, kterých bylo projednáno 87. Převážnou většinu představují krádeže v obchodech, podvody na internetu, dále pak poškozování nebo zničení věcí, popř. přisvojení si cizí věci nálezem. </w:t>
      </w: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Proti </w:t>
      </w:r>
      <w:r w:rsidRPr="00D4466D">
        <w:rPr>
          <w:rFonts w:ascii="Arial" w:hAnsi="Arial" w:cs="Arial"/>
          <w:b/>
          <w:sz w:val="22"/>
          <w:szCs w:val="22"/>
        </w:rPr>
        <w:t>veřejnému pořádku</w:t>
      </w:r>
      <w:r w:rsidRPr="00D4466D">
        <w:rPr>
          <w:rFonts w:ascii="Arial" w:hAnsi="Arial" w:cs="Arial"/>
          <w:sz w:val="22"/>
          <w:szCs w:val="22"/>
        </w:rPr>
        <w:t xml:space="preserve"> bylo řešeno 60 přestupků. Převažují přestupky neuposlechnutí výzvy úřední osoby při výkonu její pravomoci (příslušníků policie ČR anebo strážníků městské policie), dále se jednalo o znevážení postavení úřední osoby při výkonu její pravomoci, rušení nočního klidu, vzbuzení veřejného pohoršení, znečištění či neoprávněné zabrání veřejného prostranství, zakrytí obličeje v místě sportovního utkání či vnesení a použití pyrotechnického výrobku na sportovním utkání.</w:t>
      </w: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Správní orgán dále řešil 1 případ </w:t>
      </w:r>
      <w:r w:rsidRPr="00D4466D">
        <w:rPr>
          <w:rFonts w:ascii="Arial" w:hAnsi="Arial" w:cs="Arial"/>
          <w:b/>
          <w:sz w:val="22"/>
          <w:szCs w:val="22"/>
        </w:rPr>
        <w:t>přestupku křivého vysvětlení</w:t>
      </w:r>
      <w:r w:rsidRPr="00D4466D">
        <w:rPr>
          <w:rFonts w:ascii="Arial" w:hAnsi="Arial" w:cs="Arial"/>
          <w:sz w:val="22"/>
          <w:szCs w:val="22"/>
        </w:rPr>
        <w:t>.</w:t>
      </w:r>
    </w:p>
    <w:p w:rsidR="00955A86" w:rsidRPr="00D4466D" w:rsidRDefault="00955A86" w:rsidP="00955A86">
      <w:pPr>
        <w:jc w:val="both"/>
        <w:rPr>
          <w:rFonts w:ascii="Arial" w:hAnsi="Arial" w:cs="Arial"/>
          <w:snapToGrid w:val="0"/>
          <w:sz w:val="22"/>
          <w:szCs w:val="22"/>
        </w:rPr>
      </w:pPr>
      <w:r w:rsidRPr="00D4466D">
        <w:rPr>
          <w:rFonts w:ascii="Arial" w:hAnsi="Arial" w:cs="Arial"/>
          <w:sz w:val="22"/>
          <w:szCs w:val="22"/>
        </w:rPr>
        <w:t xml:space="preserve">Porušení zákona </w:t>
      </w:r>
      <w:r w:rsidRPr="00D4466D">
        <w:rPr>
          <w:rFonts w:ascii="Arial" w:hAnsi="Arial" w:cs="Arial"/>
          <w:snapToGrid w:val="0"/>
          <w:sz w:val="22"/>
          <w:szCs w:val="22"/>
        </w:rPr>
        <w:t xml:space="preserve">o ochraně zdraví před škodlivými účinky návykových látek bylo řešeno ve 28 případech. V 5 případech se jednalo o prodej nebo podání alkoholu osobám mladším 18 let, ve 3 případech o prodej nebo podání tabákového výrobku osobě mladší 18 let, ve 3 případech o kouření na zakázaném místě a ve zbylých případech o odmítnutí podrobit se orientačnímu vyšetření, kdy již toto není řešeno jako přestupek proti veřejnému pořádku neuposlechnutí výzvy úřední osoby při výkonu její pravomoci. </w:t>
      </w:r>
    </w:p>
    <w:p w:rsidR="00955A86" w:rsidRPr="00D4466D" w:rsidRDefault="00955A86" w:rsidP="00955A86">
      <w:pPr>
        <w:jc w:val="both"/>
        <w:rPr>
          <w:rFonts w:ascii="Arial" w:hAnsi="Arial" w:cs="Arial"/>
          <w:sz w:val="22"/>
          <w:szCs w:val="22"/>
        </w:rPr>
      </w:pPr>
      <w:r w:rsidRPr="00D4466D">
        <w:rPr>
          <w:rFonts w:ascii="Arial" w:hAnsi="Arial" w:cs="Arial"/>
          <w:snapToGrid w:val="0"/>
          <w:sz w:val="22"/>
          <w:szCs w:val="22"/>
        </w:rPr>
        <w:t xml:space="preserve">Dále byly </w:t>
      </w:r>
      <w:r w:rsidRPr="00D4466D">
        <w:rPr>
          <w:rFonts w:ascii="Arial" w:hAnsi="Arial" w:cs="Arial"/>
          <w:sz w:val="22"/>
          <w:szCs w:val="22"/>
        </w:rPr>
        <w:t xml:space="preserve">řešeny 4 případy </w:t>
      </w:r>
      <w:r w:rsidRPr="00D4466D">
        <w:rPr>
          <w:rFonts w:ascii="Arial" w:hAnsi="Arial" w:cs="Arial"/>
          <w:b/>
          <w:sz w:val="22"/>
          <w:szCs w:val="22"/>
        </w:rPr>
        <w:t>porušení zákona o návykových látkách</w:t>
      </w:r>
      <w:r w:rsidRPr="00D4466D">
        <w:rPr>
          <w:rFonts w:ascii="Arial" w:hAnsi="Arial" w:cs="Arial"/>
          <w:sz w:val="22"/>
          <w:szCs w:val="22"/>
        </w:rPr>
        <w:t xml:space="preserve">. Jednalo se o přechovávání návykové látky pro svoji potřebu, přičemž se jednalo buď o marihuanu, kodein nebo morfin. Při rozhodování o těchto přestupcích byly kromě pokut uloženy i správní tresty propadnutí věci. </w:t>
      </w:r>
    </w:p>
    <w:p w:rsidR="00955A86" w:rsidRDefault="00955A86" w:rsidP="00955A86">
      <w:pPr>
        <w:jc w:val="both"/>
        <w:rPr>
          <w:rFonts w:ascii="Arial" w:hAnsi="Arial" w:cs="Arial"/>
          <w:sz w:val="22"/>
          <w:szCs w:val="22"/>
        </w:rPr>
      </w:pPr>
      <w:r w:rsidRPr="00D4466D">
        <w:rPr>
          <w:rFonts w:ascii="Arial" w:hAnsi="Arial" w:cs="Arial"/>
          <w:sz w:val="22"/>
          <w:szCs w:val="22"/>
        </w:rPr>
        <w:lastRenderedPageBreak/>
        <w:t xml:space="preserve">Dále byly řešeny 3 </w:t>
      </w:r>
      <w:r w:rsidRPr="00D4466D">
        <w:rPr>
          <w:rFonts w:ascii="Arial" w:hAnsi="Arial" w:cs="Arial"/>
          <w:b/>
          <w:sz w:val="22"/>
          <w:szCs w:val="22"/>
        </w:rPr>
        <w:t>přestupky na úseku zbraní a střeliva</w:t>
      </w:r>
      <w:r w:rsidRPr="00D4466D">
        <w:rPr>
          <w:rFonts w:ascii="Arial" w:hAnsi="Arial" w:cs="Arial"/>
          <w:sz w:val="22"/>
          <w:szCs w:val="22"/>
        </w:rPr>
        <w:t>. Jednalo se o převod na neoprávněnou osobu, neoznámení nabytí vlastnictví a nošení zbraně pod vlivem alkoholických nápojů.</w:t>
      </w:r>
    </w:p>
    <w:p w:rsidR="00976C99" w:rsidRPr="00D4466D" w:rsidRDefault="00976C99" w:rsidP="00955A86">
      <w:pPr>
        <w:jc w:val="both"/>
        <w:rPr>
          <w:rFonts w:ascii="Arial" w:hAnsi="Arial" w:cs="Arial"/>
          <w:sz w:val="22"/>
          <w:szCs w:val="22"/>
        </w:rPr>
      </w:pPr>
    </w:p>
    <w:p w:rsidR="00955A86" w:rsidRPr="00D4466D" w:rsidRDefault="00955A86" w:rsidP="00955A86">
      <w:pPr>
        <w:jc w:val="both"/>
        <w:rPr>
          <w:rFonts w:ascii="Arial" w:hAnsi="Arial" w:cs="Arial"/>
          <w:bCs/>
          <w:sz w:val="22"/>
          <w:szCs w:val="22"/>
        </w:rPr>
      </w:pPr>
      <w:r w:rsidRPr="00D4466D">
        <w:rPr>
          <w:rFonts w:ascii="Arial" w:hAnsi="Arial" w:cs="Arial"/>
          <w:b/>
          <w:sz w:val="22"/>
          <w:szCs w:val="22"/>
        </w:rPr>
        <w:t>Porušení vyhlášek</w:t>
      </w:r>
      <w:r w:rsidRPr="00D4466D">
        <w:rPr>
          <w:rFonts w:ascii="Arial" w:hAnsi="Arial" w:cs="Arial"/>
          <w:sz w:val="22"/>
          <w:szCs w:val="22"/>
        </w:rPr>
        <w:t xml:space="preserve"> města bylo řešeno ve 23 případech, přičemž převážnou část tvořila konzumace alkoholu na místech zakázaných, kdy ve 2 z těchto případů byl kromě pokuty uložen i správní trest propadnutí věci.</w:t>
      </w:r>
      <w:r w:rsidRPr="00D4466D">
        <w:rPr>
          <w:rFonts w:ascii="Arial" w:hAnsi="Arial" w:cs="Arial"/>
          <w:bCs/>
          <w:sz w:val="22"/>
          <w:szCs w:val="22"/>
        </w:rPr>
        <w:t xml:space="preserve"> V 1 případě bylo rovněž oznámeno porušení nařízení města. </w:t>
      </w:r>
    </w:p>
    <w:p w:rsidR="00955A86" w:rsidRPr="00D4466D" w:rsidRDefault="00955A86" w:rsidP="00955A86">
      <w:pPr>
        <w:jc w:val="both"/>
        <w:rPr>
          <w:rFonts w:ascii="Arial" w:hAnsi="Arial" w:cs="Arial"/>
          <w:sz w:val="22"/>
          <w:szCs w:val="22"/>
        </w:rPr>
      </w:pPr>
      <w:r w:rsidRPr="00D4466D">
        <w:rPr>
          <w:rFonts w:ascii="Arial" w:hAnsi="Arial" w:cs="Arial"/>
          <w:bCs/>
          <w:sz w:val="22"/>
          <w:szCs w:val="22"/>
        </w:rPr>
        <w:t xml:space="preserve">Správní orgán dále projednával 1 případ, ve </w:t>
      </w:r>
      <w:r w:rsidRPr="00D4466D">
        <w:rPr>
          <w:rFonts w:ascii="Arial" w:hAnsi="Arial" w:cs="Arial"/>
          <w:sz w:val="22"/>
          <w:szCs w:val="22"/>
        </w:rPr>
        <w:t xml:space="preserve">kterém došlo k </w:t>
      </w:r>
      <w:r w:rsidRPr="00D4466D">
        <w:rPr>
          <w:rFonts w:ascii="Arial" w:hAnsi="Arial" w:cs="Arial"/>
          <w:b/>
          <w:sz w:val="22"/>
          <w:szCs w:val="22"/>
        </w:rPr>
        <w:t>porušení zákona o občanských průkazech</w:t>
      </w:r>
      <w:r w:rsidRPr="00D4466D">
        <w:rPr>
          <w:rFonts w:ascii="Arial" w:hAnsi="Arial" w:cs="Arial"/>
          <w:sz w:val="22"/>
          <w:szCs w:val="22"/>
        </w:rPr>
        <w:t xml:space="preserve"> a který nebyl vyřízen úsekem správních činností příkazem na místě.</w:t>
      </w:r>
    </w:p>
    <w:p w:rsidR="00955A86" w:rsidRPr="00D4466D" w:rsidRDefault="00955A86" w:rsidP="00955A86">
      <w:pPr>
        <w:jc w:val="both"/>
        <w:rPr>
          <w:rFonts w:ascii="Arial" w:hAnsi="Arial" w:cs="Arial"/>
          <w:sz w:val="22"/>
          <w:szCs w:val="22"/>
        </w:rPr>
      </w:pPr>
      <w:r w:rsidRPr="00D4466D">
        <w:rPr>
          <w:rFonts w:ascii="Arial" w:hAnsi="Arial" w:cs="Arial"/>
          <w:sz w:val="22"/>
          <w:szCs w:val="22"/>
        </w:rPr>
        <w:t>Co se týká porušení zákona o střetu zájmů, tak správní orgán řešil 4 oznámení. Podle tohoto zákona musí v průběhu vykonávání své funkce veřejný funkcionář formou čestného prohlášení podávat na elektronických formulářích různé druhy oznámení, které jsou dostupné na webových stránkách Ministerstva spravedlnosti ČR. Tyto přestupky nelze vyřešit ve zkráceném řízení příkazem na místě a příkazem, a proto správní orgán zahajoval v těchto věcech řízení.</w:t>
      </w:r>
    </w:p>
    <w:p w:rsidR="00955A86" w:rsidRPr="00D4466D" w:rsidRDefault="00955A86" w:rsidP="00955A86">
      <w:pPr>
        <w:jc w:val="both"/>
        <w:rPr>
          <w:rFonts w:ascii="Arial" w:hAnsi="Arial" w:cs="Arial"/>
          <w:color w:val="000000"/>
          <w:sz w:val="22"/>
          <w:szCs w:val="22"/>
          <w:shd w:val="clear" w:color="auto" w:fill="FFFFFF"/>
        </w:rPr>
      </w:pPr>
      <w:r w:rsidRPr="00D4466D">
        <w:rPr>
          <w:rFonts w:ascii="Arial" w:hAnsi="Arial" w:cs="Arial"/>
          <w:snapToGrid w:val="0"/>
          <w:sz w:val="22"/>
          <w:szCs w:val="22"/>
        </w:rPr>
        <w:t xml:space="preserve">Správní orgán řešil i </w:t>
      </w:r>
      <w:r w:rsidRPr="00D4466D">
        <w:rPr>
          <w:rFonts w:ascii="Arial" w:hAnsi="Arial" w:cs="Arial"/>
          <w:b/>
          <w:snapToGrid w:val="0"/>
          <w:sz w:val="22"/>
          <w:szCs w:val="22"/>
        </w:rPr>
        <w:t>přestupky podle zákona o matrikách</w:t>
      </w:r>
      <w:r w:rsidRPr="00D4466D">
        <w:rPr>
          <w:rFonts w:ascii="Arial" w:hAnsi="Arial" w:cs="Arial"/>
          <w:snapToGrid w:val="0"/>
          <w:sz w:val="22"/>
          <w:szCs w:val="22"/>
        </w:rPr>
        <w:t xml:space="preserve">, kdy byly oznámeny </w:t>
      </w:r>
      <w:r w:rsidRPr="00D4466D">
        <w:rPr>
          <w:rFonts w:ascii="Arial" w:hAnsi="Arial" w:cs="Arial"/>
          <w:snapToGrid w:val="0"/>
          <w:sz w:val="22"/>
          <w:szCs w:val="22"/>
        </w:rPr>
        <w:br/>
        <w:t xml:space="preserve">2 případy, kdy osoby při policejní kontrole úmyslně neužívaly </w:t>
      </w:r>
      <w:r w:rsidRPr="00D4466D">
        <w:rPr>
          <w:rFonts w:ascii="Arial" w:hAnsi="Arial" w:cs="Arial"/>
          <w:color w:val="000000"/>
          <w:sz w:val="22"/>
          <w:szCs w:val="22"/>
          <w:shd w:val="clear" w:color="auto" w:fill="FFFFFF"/>
        </w:rPr>
        <w:t>jméno a příjmení, která jsou uvedena na matričním dokladu.</w:t>
      </w:r>
    </w:p>
    <w:p w:rsidR="00955A86" w:rsidRPr="00D4466D" w:rsidRDefault="00955A86" w:rsidP="00955A86">
      <w:pPr>
        <w:jc w:val="both"/>
        <w:rPr>
          <w:rFonts w:ascii="Arial" w:hAnsi="Arial" w:cs="Arial"/>
          <w:snapToGrid w:val="0"/>
          <w:sz w:val="22"/>
          <w:szCs w:val="22"/>
        </w:rPr>
      </w:pPr>
      <w:r w:rsidRPr="00D4466D">
        <w:rPr>
          <w:rFonts w:ascii="Arial" w:hAnsi="Arial" w:cs="Arial"/>
          <w:color w:val="000000"/>
          <w:sz w:val="22"/>
          <w:szCs w:val="22"/>
          <w:shd w:val="clear" w:color="auto" w:fill="FFFFFF"/>
        </w:rPr>
        <w:t>Přestupek podle školského zákona nebyl v průběhu roku 2024 oznámen ani jeden.</w:t>
      </w:r>
    </w:p>
    <w:p w:rsidR="00955A86" w:rsidRPr="00D4466D" w:rsidRDefault="00955A86" w:rsidP="00955A86">
      <w:pPr>
        <w:jc w:val="both"/>
        <w:rPr>
          <w:rFonts w:ascii="Arial" w:hAnsi="Arial" w:cs="Arial"/>
          <w:sz w:val="22"/>
          <w:szCs w:val="22"/>
        </w:rPr>
      </w:pP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Z celkového počtu oznámených přestupků proti občanskému soužití vykazovalo 50 přestupků některé znaky jevu tzv. </w:t>
      </w:r>
      <w:r w:rsidRPr="00D4466D">
        <w:rPr>
          <w:rFonts w:ascii="Arial" w:hAnsi="Arial" w:cs="Arial"/>
          <w:b/>
          <w:sz w:val="22"/>
          <w:szCs w:val="22"/>
        </w:rPr>
        <w:t>domácího násilí</w:t>
      </w:r>
      <w:r w:rsidRPr="00D4466D">
        <w:rPr>
          <w:rFonts w:ascii="Arial" w:hAnsi="Arial" w:cs="Arial"/>
          <w:sz w:val="22"/>
          <w:szCs w:val="22"/>
        </w:rPr>
        <w:t xml:space="preserve">. Jedná se o ty přestupky, které byly spáchány mezi osobami blízkými, osobami žijícími ve společném obydlí nebo osobami, které byly v minulosti osobami blízkými (např. manžel/manželka, druh/družka). Ve 38 případech se jednalo o fyzické napadení, verbální napadení bylo evidováno ve 25 případech (jednalo se buď o samostatné napadení verbální anebo o souběh s fyzickým napadením). V 17 případech došlo ke spáchání těchto přestupků v rodině, kde je dítě. </w:t>
      </w:r>
    </w:p>
    <w:p w:rsidR="00955A86" w:rsidRPr="00D4466D" w:rsidRDefault="00955A86" w:rsidP="00955A86">
      <w:pPr>
        <w:ind w:firstLine="567"/>
        <w:jc w:val="both"/>
        <w:rPr>
          <w:rFonts w:ascii="Arial" w:hAnsi="Arial" w:cs="Arial"/>
          <w:sz w:val="22"/>
          <w:szCs w:val="22"/>
        </w:rPr>
      </w:pPr>
    </w:p>
    <w:p w:rsidR="00955A86" w:rsidRPr="00D4466D" w:rsidRDefault="00955A86" w:rsidP="00955A86">
      <w:pPr>
        <w:jc w:val="both"/>
        <w:rPr>
          <w:rFonts w:ascii="Arial" w:hAnsi="Arial" w:cs="Arial"/>
          <w:sz w:val="22"/>
          <w:szCs w:val="22"/>
        </w:rPr>
      </w:pPr>
      <w:r w:rsidRPr="00D4466D">
        <w:rPr>
          <w:rFonts w:ascii="Arial" w:hAnsi="Arial" w:cs="Arial"/>
          <w:sz w:val="22"/>
          <w:szCs w:val="22"/>
        </w:rPr>
        <w:t>Správní orgán projednával i 13 přestupků, které byly spáchány osobami mladistvými, kdy se jednalo o případy urážek na cti, ublížení na zdraví, jiného hrubého jednání, krádeže a jednotlivé případy podvodu, poškození cizí věci a odmítnutí dechové zkoušky na alkohol.</w:t>
      </w:r>
    </w:p>
    <w:p w:rsidR="00955A86" w:rsidRPr="00D4466D" w:rsidRDefault="00955A86" w:rsidP="00955A86">
      <w:pPr>
        <w:jc w:val="both"/>
        <w:rPr>
          <w:rFonts w:ascii="Arial" w:hAnsi="Arial" w:cs="Arial"/>
          <w:sz w:val="22"/>
          <w:szCs w:val="22"/>
        </w:rPr>
      </w:pP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Zvláštní kategorií přestupků, týkající se procesu projednávání, jsou přestupky ublížení na cti a dále přestupky proti občanskému soužití a proti majetku, které byly spáchané mezi osobami blízkými. Řízení o těchto přestupcích lze zahájit anebo v již zahájeném řízení pokračovat pouze se souhlasem osoby přímo postižené spácháním přestupku. Tuto osobu musí správní orgán poučit a stanovit jí dle zákona lhůtu nejméně 30 dnů k možnosti podat souhlas s projednáním přestupku. Pokud je souhlas podán, správní orgán řízení zahájí, případně v již zahájeném řízení pokračuje. V rámci řízení je pak osobám dána možnost usmíření, kterým, v případě jeho uplatnění, následně dochází k zastavení řízení. Tato možnost byla využita v 7 případech. Pokud souhlas podán není, je věc odložena usnesením, nebo řízení usnesením zastaveno. Těchto případů bylo v roce 2024 evidováno 111. </w:t>
      </w:r>
    </w:p>
    <w:p w:rsidR="00955A86" w:rsidRPr="00D4466D" w:rsidRDefault="00955A86" w:rsidP="00955A86">
      <w:pPr>
        <w:ind w:firstLine="540"/>
        <w:jc w:val="both"/>
        <w:rPr>
          <w:rFonts w:ascii="Arial" w:hAnsi="Arial" w:cs="Arial"/>
          <w:sz w:val="22"/>
          <w:szCs w:val="22"/>
        </w:rPr>
      </w:pP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Správní orgán má povinnost zapisovat vybrané druhy přestupků do evidence přestupků. Povinnost zápisu provádí správní orgán rovněž v případech, kdy o uložení pokuty příkazem na místě rozhodovala obecní policie. Ta sdělí údaje potřebné pro provedení zápisu do pěti pracovních dnů ode dne uložení pokuty příkazem na místě. Správní orgán v roce 2024 zaznamenal do této evidence 178 zápisů, kdy byla obviněná osoba uznána vinnou správním orgánem a 107 zápisů, kdy byla městskou policií uložena pokuta. Celkem tedy bylo provedeno 285 zápisů.   </w:t>
      </w:r>
    </w:p>
    <w:p w:rsidR="00955A86" w:rsidRPr="00D4466D" w:rsidRDefault="00955A86" w:rsidP="00955A86">
      <w:pPr>
        <w:ind w:firstLine="540"/>
        <w:jc w:val="both"/>
        <w:rPr>
          <w:rFonts w:ascii="Arial" w:hAnsi="Arial" w:cs="Arial"/>
          <w:sz w:val="22"/>
          <w:szCs w:val="22"/>
        </w:rPr>
      </w:pP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I když existuje evidence přestupků, tak stále správní orgán vypracovává </w:t>
      </w:r>
      <w:r w:rsidRPr="00D4466D">
        <w:rPr>
          <w:rFonts w:ascii="Arial" w:hAnsi="Arial" w:cs="Arial"/>
          <w:b/>
          <w:sz w:val="22"/>
          <w:szCs w:val="22"/>
        </w:rPr>
        <w:t>zprávy o občanech</w:t>
      </w:r>
      <w:r w:rsidRPr="00D4466D">
        <w:rPr>
          <w:rFonts w:ascii="Arial" w:hAnsi="Arial" w:cs="Arial"/>
          <w:sz w:val="22"/>
          <w:szCs w:val="22"/>
        </w:rPr>
        <w:t xml:space="preserve"> na základě žádostí zejména od orgánů činných v trestním řízení, občanskoprávním řízení nebo orgánů státní správy. Těchto zpráv bylo v roce 2024 vyhotoveno přibližně 454.   </w:t>
      </w:r>
    </w:p>
    <w:p w:rsidR="00955A86" w:rsidRPr="00D4466D" w:rsidRDefault="00955A86" w:rsidP="00955A86">
      <w:pPr>
        <w:jc w:val="both"/>
        <w:rPr>
          <w:rFonts w:ascii="Arial" w:hAnsi="Arial" w:cs="Arial"/>
          <w:sz w:val="22"/>
          <w:szCs w:val="22"/>
        </w:rPr>
      </w:pP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Na základě uzavřených </w:t>
      </w:r>
      <w:r w:rsidRPr="00D4466D">
        <w:rPr>
          <w:rFonts w:ascii="Arial" w:hAnsi="Arial" w:cs="Arial"/>
          <w:b/>
          <w:sz w:val="22"/>
          <w:szCs w:val="22"/>
        </w:rPr>
        <w:t>veřejnoprávních smluv</w:t>
      </w:r>
      <w:r w:rsidRPr="00D4466D">
        <w:rPr>
          <w:rFonts w:ascii="Arial" w:hAnsi="Arial" w:cs="Arial"/>
          <w:sz w:val="22"/>
          <w:szCs w:val="22"/>
        </w:rPr>
        <w:t xml:space="preserve"> projednal správní orgán pro obce územního obvodu v roce 2024 celkem 49 případů, za které bylo, v souladu se smlouvami, obcím vyfakturováno 147.000 Kč. K </w:t>
      </w:r>
      <w:proofErr w:type="gramStart"/>
      <w:r w:rsidRPr="00D4466D">
        <w:rPr>
          <w:rFonts w:ascii="Arial" w:hAnsi="Arial" w:cs="Arial"/>
          <w:sz w:val="22"/>
          <w:szCs w:val="22"/>
        </w:rPr>
        <w:t>31.12.2024</w:t>
      </w:r>
      <w:proofErr w:type="gramEnd"/>
      <w:r w:rsidRPr="00D4466D">
        <w:rPr>
          <w:rFonts w:ascii="Arial" w:hAnsi="Arial" w:cs="Arial"/>
          <w:sz w:val="22"/>
          <w:szCs w:val="22"/>
        </w:rPr>
        <w:t xml:space="preserve"> byly uzavřeny smlouvy s 23 obcemi z 27 možných. </w:t>
      </w:r>
    </w:p>
    <w:p w:rsidR="00955A86" w:rsidRPr="00D4466D" w:rsidRDefault="00955A86" w:rsidP="00955A86">
      <w:pPr>
        <w:jc w:val="both"/>
        <w:rPr>
          <w:rFonts w:ascii="Arial" w:hAnsi="Arial" w:cs="Arial"/>
          <w:sz w:val="22"/>
          <w:szCs w:val="22"/>
        </w:rPr>
      </w:pP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V roce 2024 vydal správní orgán 101 rozhodnutí, ve kterých byli přestupci uznáni vinnými ze spáchání přestupků. Z tohoto počtu jich bylo 63 ve zkráceném řízení - Příkazem. Proti rozhodnutím bylo podáno 1 odvolání, kdy nadřízeným správním orgánem došlo k vydání nového rozhodnutí. Příkazem na místě bylo vyřízeno 108 případů. Na pokutách bylo správním orgánem uloženo celkem 742.500 Kč včetně nákladů řízení, k exekučnímu řízení byly předány přestupky za 391.710 Kč. </w:t>
      </w: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V případě nákladů řízení došlo pro řízení zahájená od </w:t>
      </w:r>
      <w:proofErr w:type="gramStart"/>
      <w:r w:rsidRPr="00D4466D">
        <w:rPr>
          <w:rFonts w:ascii="Arial" w:hAnsi="Arial" w:cs="Arial"/>
          <w:sz w:val="22"/>
          <w:szCs w:val="22"/>
        </w:rPr>
        <w:t>01.07.2024</w:t>
      </w:r>
      <w:proofErr w:type="gramEnd"/>
      <w:r w:rsidRPr="00D4466D">
        <w:rPr>
          <w:rFonts w:ascii="Arial" w:hAnsi="Arial" w:cs="Arial"/>
          <w:sz w:val="22"/>
          <w:szCs w:val="22"/>
        </w:rPr>
        <w:t xml:space="preserve"> ke změně paušální částky nákladů správního řízení, kdy nově činí tato částka 2.500 Kč na místo dosavadních 1.000 Kč.</w:t>
      </w:r>
    </w:p>
    <w:p w:rsidR="00955A86" w:rsidRPr="00D4466D" w:rsidRDefault="00955A86" w:rsidP="00955A86">
      <w:pPr>
        <w:jc w:val="both"/>
        <w:rPr>
          <w:rFonts w:ascii="Arial" w:hAnsi="Arial" w:cs="Arial"/>
          <w:sz w:val="22"/>
          <w:szCs w:val="22"/>
        </w:rPr>
      </w:pPr>
      <w:r w:rsidRPr="00D4466D">
        <w:rPr>
          <w:rFonts w:ascii="Arial" w:hAnsi="Arial" w:cs="Arial"/>
          <w:sz w:val="22"/>
          <w:szCs w:val="22"/>
        </w:rPr>
        <w:t xml:space="preserve">Správní orgán dále vydal 13 usnesení o zastavení řízení, zejména z toho důvodu, že obviněným nebylo spáchání přestupků prokázáno a 97 usnesení o odložení, zejména z toho důvodu, že osoby přímo postižené spácháním přestupků nedaly souhlasy se zahájením řízení nebo došlá oznámení neodůvodňovaly zahájení řízení o přestupcích.   </w:t>
      </w:r>
    </w:p>
    <w:p w:rsidR="00955A86" w:rsidRPr="00D4466D" w:rsidRDefault="00955A86" w:rsidP="00955A86">
      <w:pPr>
        <w:jc w:val="both"/>
        <w:rPr>
          <w:rFonts w:ascii="Arial" w:hAnsi="Arial" w:cs="Arial"/>
          <w:sz w:val="22"/>
          <w:szCs w:val="22"/>
        </w:rPr>
      </w:pPr>
    </w:p>
    <w:p w:rsidR="00872D41" w:rsidRDefault="00955A86" w:rsidP="00955A86">
      <w:pPr>
        <w:jc w:val="both"/>
        <w:rPr>
          <w:rFonts w:ascii="Arial" w:hAnsi="Arial" w:cs="Arial"/>
          <w:sz w:val="22"/>
          <w:szCs w:val="22"/>
        </w:rPr>
      </w:pPr>
      <w:r w:rsidRPr="00D4466D">
        <w:rPr>
          <w:rFonts w:ascii="Arial" w:hAnsi="Arial" w:cs="Arial"/>
          <w:sz w:val="22"/>
          <w:szCs w:val="22"/>
        </w:rPr>
        <w:t>I přesto, že správní orgán ukládá na pokutách každý rok větší částku, tak to automaticky neznamená, že tato částka bývá i zaplacena. U správního orgánu tvoří velkou část pachatelů osoby, které nemají stálý příjem, které jsou odkázány na různé dávky, které nemají zajištěné dlouhodobější bydlení a které nemají osvojené základní principy fungování ve společnosti. Z toho důvodu nebývá uložená pokuta zaplacená včas a správní orgán tedy musí tyto osoby v určitých případech vyrozumívat o tom, že je v jejich případě evidován nedoplatek. Pokud ani poté není pokuta zaplacena, následuje předání na exekuční oddělení. Správní orgán se rovněž zabývá případy, kdy dochází k zániku části nebo celé pohledávky a na pokyn exekučního oddělení se vydává příkaz k vyřazení pohledávky. I tuto agendu vykonává správní orgán, neboť je správcem poplatku</w:t>
      </w:r>
      <w:r>
        <w:rPr>
          <w:rFonts w:ascii="Arial" w:hAnsi="Arial" w:cs="Arial"/>
          <w:sz w:val="22"/>
          <w:szCs w:val="22"/>
        </w:rPr>
        <w:t>.</w:t>
      </w:r>
      <w:bookmarkStart w:id="3" w:name="_GoBack"/>
      <w:bookmarkEnd w:id="3"/>
    </w:p>
    <w:bookmarkEnd w:id="0"/>
    <w:bookmarkEnd w:id="1"/>
    <w:sectPr w:rsidR="00872D41" w:rsidSect="00630C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72C2C56"/>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6818DE34"/>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AB85E25"/>
    <w:multiLevelType w:val="multilevel"/>
    <w:tmpl w:val="D47E723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30C055B"/>
    <w:multiLevelType w:val="hybridMultilevel"/>
    <w:tmpl w:val="9CBC56F0"/>
    <w:lvl w:ilvl="0" w:tplc="04050017">
      <w:start w:val="1"/>
      <w:numFmt w:val="lowerLetter"/>
      <w:lvlText w:val="%1)"/>
      <w:lvlJc w:val="left"/>
      <w:pPr>
        <w:tabs>
          <w:tab w:val="num" w:pos="720"/>
        </w:tabs>
        <w:ind w:left="720" w:hanging="360"/>
      </w:pPr>
    </w:lvl>
    <w:lvl w:ilvl="1" w:tplc="C8AAC2EE">
      <w:start w:val="26"/>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46D2266E"/>
    <w:multiLevelType w:val="hybridMultilevel"/>
    <w:tmpl w:val="0A9C847C"/>
    <w:lvl w:ilvl="0" w:tplc="3ABA77DE">
      <w:start w:val="1"/>
      <w:numFmt w:val="decimal"/>
      <w:lvlText w:val="%1)"/>
      <w:lvlJc w:val="left"/>
      <w:pPr>
        <w:ind w:left="1097" w:hanging="384"/>
      </w:pPr>
    </w:lvl>
    <w:lvl w:ilvl="1" w:tplc="04050019">
      <w:start w:val="1"/>
      <w:numFmt w:val="lowerLetter"/>
      <w:lvlText w:val="%2."/>
      <w:lvlJc w:val="left"/>
      <w:pPr>
        <w:ind w:left="1793" w:hanging="360"/>
      </w:pPr>
    </w:lvl>
    <w:lvl w:ilvl="2" w:tplc="0405001B">
      <w:start w:val="1"/>
      <w:numFmt w:val="lowerRoman"/>
      <w:lvlText w:val="%3."/>
      <w:lvlJc w:val="right"/>
      <w:pPr>
        <w:ind w:left="2513" w:hanging="180"/>
      </w:pPr>
    </w:lvl>
    <w:lvl w:ilvl="3" w:tplc="0405000F">
      <w:start w:val="1"/>
      <w:numFmt w:val="decimal"/>
      <w:lvlText w:val="%4."/>
      <w:lvlJc w:val="left"/>
      <w:pPr>
        <w:ind w:left="3233" w:hanging="360"/>
      </w:pPr>
    </w:lvl>
    <w:lvl w:ilvl="4" w:tplc="04050019">
      <w:start w:val="1"/>
      <w:numFmt w:val="lowerLetter"/>
      <w:lvlText w:val="%5."/>
      <w:lvlJc w:val="left"/>
      <w:pPr>
        <w:ind w:left="3953" w:hanging="360"/>
      </w:pPr>
    </w:lvl>
    <w:lvl w:ilvl="5" w:tplc="0405001B">
      <w:start w:val="1"/>
      <w:numFmt w:val="lowerRoman"/>
      <w:lvlText w:val="%6."/>
      <w:lvlJc w:val="right"/>
      <w:pPr>
        <w:ind w:left="4673" w:hanging="180"/>
      </w:pPr>
    </w:lvl>
    <w:lvl w:ilvl="6" w:tplc="0405000F">
      <w:start w:val="1"/>
      <w:numFmt w:val="decimal"/>
      <w:lvlText w:val="%7."/>
      <w:lvlJc w:val="left"/>
      <w:pPr>
        <w:ind w:left="5393" w:hanging="360"/>
      </w:pPr>
    </w:lvl>
    <w:lvl w:ilvl="7" w:tplc="04050019">
      <w:start w:val="1"/>
      <w:numFmt w:val="lowerLetter"/>
      <w:lvlText w:val="%8."/>
      <w:lvlJc w:val="left"/>
      <w:pPr>
        <w:ind w:left="6113" w:hanging="360"/>
      </w:pPr>
    </w:lvl>
    <w:lvl w:ilvl="8" w:tplc="0405001B">
      <w:start w:val="1"/>
      <w:numFmt w:val="lowerRoman"/>
      <w:lvlText w:val="%9."/>
      <w:lvlJc w:val="right"/>
      <w:pPr>
        <w:ind w:left="6833" w:hanging="180"/>
      </w:pPr>
    </w:lvl>
  </w:abstractNum>
  <w:abstractNum w:abstractNumId="5" w15:restartNumberingAfterBreak="0">
    <w:nsid w:val="662B5F3D"/>
    <w:multiLevelType w:val="hybridMultilevel"/>
    <w:tmpl w:val="CFD602AC"/>
    <w:lvl w:ilvl="0" w:tplc="04050017">
      <w:start w:val="1"/>
      <w:numFmt w:val="lowerLetter"/>
      <w:lvlText w:val="%1)"/>
      <w:lvlJc w:val="left"/>
      <w:pPr>
        <w:tabs>
          <w:tab w:val="num" w:pos="787"/>
        </w:tabs>
        <w:ind w:left="787" w:hanging="360"/>
      </w:pPr>
    </w:lvl>
    <w:lvl w:ilvl="1" w:tplc="04050019" w:tentative="1">
      <w:start w:val="1"/>
      <w:numFmt w:val="lowerLetter"/>
      <w:lvlText w:val="%2."/>
      <w:lvlJc w:val="left"/>
      <w:pPr>
        <w:tabs>
          <w:tab w:val="num" w:pos="1507"/>
        </w:tabs>
        <w:ind w:left="1507" w:hanging="360"/>
      </w:pPr>
    </w:lvl>
    <w:lvl w:ilvl="2" w:tplc="0405001B" w:tentative="1">
      <w:start w:val="1"/>
      <w:numFmt w:val="lowerRoman"/>
      <w:lvlText w:val="%3."/>
      <w:lvlJc w:val="right"/>
      <w:pPr>
        <w:tabs>
          <w:tab w:val="num" w:pos="2227"/>
        </w:tabs>
        <w:ind w:left="2227" w:hanging="180"/>
      </w:pPr>
    </w:lvl>
    <w:lvl w:ilvl="3" w:tplc="0405000F" w:tentative="1">
      <w:start w:val="1"/>
      <w:numFmt w:val="decimal"/>
      <w:lvlText w:val="%4."/>
      <w:lvlJc w:val="left"/>
      <w:pPr>
        <w:tabs>
          <w:tab w:val="num" w:pos="2947"/>
        </w:tabs>
        <w:ind w:left="2947" w:hanging="360"/>
      </w:pPr>
    </w:lvl>
    <w:lvl w:ilvl="4" w:tplc="04050019" w:tentative="1">
      <w:start w:val="1"/>
      <w:numFmt w:val="lowerLetter"/>
      <w:lvlText w:val="%5."/>
      <w:lvlJc w:val="left"/>
      <w:pPr>
        <w:tabs>
          <w:tab w:val="num" w:pos="3667"/>
        </w:tabs>
        <w:ind w:left="3667" w:hanging="360"/>
      </w:pPr>
    </w:lvl>
    <w:lvl w:ilvl="5" w:tplc="0405001B" w:tentative="1">
      <w:start w:val="1"/>
      <w:numFmt w:val="lowerRoman"/>
      <w:lvlText w:val="%6."/>
      <w:lvlJc w:val="right"/>
      <w:pPr>
        <w:tabs>
          <w:tab w:val="num" w:pos="4387"/>
        </w:tabs>
        <w:ind w:left="4387" w:hanging="180"/>
      </w:pPr>
    </w:lvl>
    <w:lvl w:ilvl="6" w:tplc="0405000F" w:tentative="1">
      <w:start w:val="1"/>
      <w:numFmt w:val="decimal"/>
      <w:lvlText w:val="%7."/>
      <w:lvlJc w:val="left"/>
      <w:pPr>
        <w:tabs>
          <w:tab w:val="num" w:pos="5107"/>
        </w:tabs>
        <w:ind w:left="5107" w:hanging="360"/>
      </w:pPr>
    </w:lvl>
    <w:lvl w:ilvl="7" w:tplc="04050019" w:tentative="1">
      <w:start w:val="1"/>
      <w:numFmt w:val="lowerLetter"/>
      <w:lvlText w:val="%8."/>
      <w:lvlJc w:val="left"/>
      <w:pPr>
        <w:tabs>
          <w:tab w:val="num" w:pos="5827"/>
        </w:tabs>
        <w:ind w:left="5827" w:hanging="360"/>
      </w:pPr>
    </w:lvl>
    <w:lvl w:ilvl="8" w:tplc="0405001B" w:tentative="1">
      <w:start w:val="1"/>
      <w:numFmt w:val="lowerRoman"/>
      <w:lvlText w:val="%9."/>
      <w:lvlJc w:val="right"/>
      <w:pPr>
        <w:tabs>
          <w:tab w:val="num" w:pos="6547"/>
        </w:tabs>
        <w:ind w:left="6547" w:hanging="180"/>
      </w:pPr>
    </w:lvl>
  </w:abstractNum>
  <w:num w:numId="1">
    <w:abstractNumId w:val="0"/>
  </w:num>
  <w:num w:numId="2">
    <w:abstractNumId w:val="1"/>
  </w:num>
  <w:num w:numId="3">
    <w:abstractNumId w:val="0"/>
  </w:num>
  <w:num w:numId="4">
    <w:abstractNumId w:val="3"/>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AE9"/>
    <w:rsid w:val="0001151C"/>
    <w:rsid w:val="00025240"/>
    <w:rsid w:val="00076566"/>
    <w:rsid w:val="000F1907"/>
    <w:rsid w:val="00183AE9"/>
    <w:rsid w:val="002849EB"/>
    <w:rsid w:val="00391606"/>
    <w:rsid w:val="004D5E54"/>
    <w:rsid w:val="00544F4C"/>
    <w:rsid w:val="00597194"/>
    <w:rsid w:val="006167B5"/>
    <w:rsid w:val="00630C77"/>
    <w:rsid w:val="006C72AA"/>
    <w:rsid w:val="007537D8"/>
    <w:rsid w:val="007F5832"/>
    <w:rsid w:val="00872D41"/>
    <w:rsid w:val="008A27F0"/>
    <w:rsid w:val="008A7DBE"/>
    <w:rsid w:val="008B3C77"/>
    <w:rsid w:val="00955A86"/>
    <w:rsid w:val="00976C99"/>
    <w:rsid w:val="0098056C"/>
    <w:rsid w:val="009D08A8"/>
    <w:rsid w:val="00A03357"/>
    <w:rsid w:val="00AE012C"/>
    <w:rsid w:val="00C2128C"/>
    <w:rsid w:val="00C31EFD"/>
    <w:rsid w:val="00C56881"/>
    <w:rsid w:val="00CA19EC"/>
    <w:rsid w:val="00CC0A99"/>
    <w:rsid w:val="00CD2832"/>
    <w:rsid w:val="00D954AA"/>
    <w:rsid w:val="00E44256"/>
    <w:rsid w:val="00EA604E"/>
    <w:rsid w:val="00F12BEB"/>
    <w:rsid w:val="00F819A6"/>
    <w:rsid w:val="00FA77E2"/>
    <w:rsid w:val="00FD1E31"/>
    <w:rsid w:val="00FF7C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95C841-BB3B-48E2-8EEE-DAA17D18E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0C77"/>
    <w:rPr>
      <w:sz w:val="24"/>
      <w:szCs w:val="24"/>
    </w:rPr>
  </w:style>
  <w:style w:type="paragraph" w:styleId="Nadpis1">
    <w:name w:val="heading 1"/>
    <w:basedOn w:val="Normln"/>
    <w:next w:val="Normln"/>
    <w:qFormat/>
    <w:rsid w:val="00630C77"/>
    <w:pPr>
      <w:keepNext/>
      <w:widowControl w:val="0"/>
      <w:autoSpaceDE w:val="0"/>
      <w:autoSpaceDN w:val="0"/>
      <w:adjustRightInd w:val="0"/>
      <w:ind w:right="144"/>
      <w:jc w:val="both"/>
      <w:outlineLvl w:val="0"/>
    </w:pPr>
    <w:rPr>
      <w:b/>
      <w:bCs/>
      <w:szCs w:val="20"/>
      <w:u w:val="single"/>
    </w:rPr>
  </w:style>
  <w:style w:type="paragraph" w:styleId="Nadpis2">
    <w:name w:val="heading 2"/>
    <w:basedOn w:val="Normln"/>
    <w:next w:val="Normln"/>
    <w:qFormat/>
    <w:rsid w:val="00630C77"/>
    <w:pPr>
      <w:keepNext/>
      <w:widowControl w:val="0"/>
      <w:tabs>
        <w:tab w:val="left" w:pos="2880"/>
      </w:tabs>
      <w:autoSpaceDE w:val="0"/>
      <w:autoSpaceDN w:val="0"/>
      <w:adjustRightInd w:val="0"/>
      <w:ind w:right="144"/>
      <w:jc w:val="right"/>
      <w:outlineLvl w:val="1"/>
    </w:pPr>
    <w:rPr>
      <w:b/>
      <w:bCs/>
      <w:szCs w:val="20"/>
    </w:rPr>
  </w:style>
  <w:style w:type="paragraph" w:styleId="Nadpis3">
    <w:name w:val="heading 3"/>
    <w:basedOn w:val="Normln"/>
    <w:next w:val="Normln"/>
    <w:qFormat/>
    <w:rsid w:val="00FD1E31"/>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slovanseznam"/>
    <w:next w:val="Seznamsodrkami"/>
    <w:autoRedefine/>
    <w:rsid w:val="00630C77"/>
    <w:pPr>
      <w:numPr>
        <w:numId w:val="0"/>
      </w:numPr>
      <w:jc w:val="both"/>
    </w:pPr>
  </w:style>
  <w:style w:type="paragraph" w:styleId="slovanseznam">
    <w:name w:val="List Number"/>
    <w:basedOn w:val="Normln"/>
    <w:rsid w:val="00630C77"/>
    <w:pPr>
      <w:numPr>
        <w:numId w:val="3"/>
      </w:numPr>
    </w:pPr>
  </w:style>
  <w:style w:type="paragraph" w:styleId="Seznamsodrkami">
    <w:name w:val="List Bullet"/>
    <w:basedOn w:val="Normln"/>
    <w:autoRedefine/>
    <w:rsid w:val="00630C77"/>
    <w:pPr>
      <w:numPr>
        <w:numId w:val="2"/>
      </w:numPr>
    </w:pPr>
  </w:style>
  <w:style w:type="paragraph" w:styleId="Zkladntext">
    <w:name w:val="Body Text"/>
    <w:basedOn w:val="Normln"/>
    <w:rsid w:val="00630C77"/>
    <w:pPr>
      <w:widowControl w:val="0"/>
      <w:autoSpaceDE w:val="0"/>
      <w:autoSpaceDN w:val="0"/>
      <w:adjustRightInd w:val="0"/>
      <w:ind w:right="144"/>
      <w:jc w:val="both"/>
    </w:pPr>
    <w:rPr>
      <w:i/>
      <w:iCs/>
      <w:szCs w:val="20"/>
    </w:rPr>
  </w:style>
  <w:style w:type="paragraph" w:styleId="Zkladntext3">
    <w:name w:val="Body Text 3"/>
    <w:basedOn w:val="Normln"/>
    <w:rsid w:val="00630C77"/>
    <w:pPr>
      <w:widowControl w:val="0"/>
      <w:autoSpaceDE w:val="0"/>
      <w:autoSpaceDN w:val="0"/>
      <w:adjustRightInd w:val="0"/>
      <w:ind w:right="49"/>
      <w:jc w:val="both"/>
    </w:pPr>
    <w:rPr>
      <w:i/>
      <w:iCs/>
      <w:szCs w:val="20"/>
    </w:rPr>
  </w:style>
  <w:style w:type="paragraph" w:styleId="Normlnweb">
    <w:name w:val="Normal (Web)"/>
    <w:basedOn w:val="Normln"/>
    <w:uiPriority w:val="99"/>
    <w:unhideWhenUsed/>
    <w:rsid w:val="00955A86"/>
    <w:pPr>
      <w:spacing w:before="100" w:beforeAutospacing="1" w:after="100" w:afterAutospacing="1"/>
    </w:pPr>
  </w:style>
  <w:style w:type="character" w:styleId="Siln">
    <w:name w:val="Strong"/>
    <w:basedOn w:val="Standardnpsmoodstavce"/>
    <w:uiPriority w:val="22"/>
    <w:qFormat/>
    <w:rsid w:val="00955A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B74B2-BDA4-499C-B2F2-9289A6D34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2877</Words>
  <Characters>16761</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[NÁZEV ORGANIZAČNÍ JEDNOTKY]</vt:lpstr>
    </vt:vector>
  </TitlesOfParts>
  <Company/>
  <LinksUpToDate>false</LinksUpToDate>
  <CharactersWithSpaces>19599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ORGANIZAČNÍ JEDNOTKY]</dc:title>
  <dc:subject/>
  <dc:creator>Tomáš Popelka</dc:creator>
  <cp:keywords/>
  <cp:lastModifiedBy>Renata Klemšová</cp:lastModifiedBy>
  <cp:revision>4</cp:revision>
  <cp:lastPrinted>2004-02-18T14:26:00Z</cp:lastPrinted>
  <dcterms:created xsi:type="dcterms:W3CDTF">2025-06-03T06:10:00Z</dcterms:created>
  <dcterms:modified xsi:type="dcterms:W3CDTF">2025-06-03T07:41:00Z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1105167456</vt:i4>
  </property>
  <property fmtid="{D5CDD505-2E9C-101B-9397-08002B2CF9AE}" pid="3" name="_EmailSubject">
    <vt:lpwstr>šablony</vt:lpwstr>
  </property>
  <property fmtid="{D5CDD505-2E9C-101B-9397-08002B2CF9AE}" pid="4" name="_AuthorEmail">
    <vt:lpwstr>renata.klemsova@svitavy.cz</vt:lpwstr>
  </property>
  <property fmtid="{D5CDD505-2E9C-101B-9397-08002B2CF9AE}" pid="5" name="_AuthorEmailDisplayName">
    <vt:lpwstr>Klemšová Renata</vt:lpwstr>
  </property>
  <property fmtid="{D5CDD505-2E9C-101B-9397-08002B2CF9AE}" pid="6" name="_ReviewingToolsShownOnce">
    <vt:lpwstr/>
  </property>
</Properties>
</file>