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BE7" w:rsidRPr="00C578A5" w:rsidRDefault="001A2BE7" w:rsidP="001A2BE7">
      <w:pPr>
        <w:pStyle w:val="Nadpis1"/>
        <w:jc w:val="center"/>
        <w:rPr>
          <w:b/>
          <w:color w:val="auto"/>
          <w:sz w:val="28"/>
          <w:szCs w:val="28"/>
        </w:rPr>
      </w:pPr>
      <w:r w:rsidRPr="00C578A5">
        <w:rPr>
          <w:rFonts w:ascii="Arial" w:hAnsi="Arial" w:cs="Arial"/>
          <w:b/>
          <w:color w:val="auto"/>
          <w:sz w:val="28"/>
          <w:szCs w:val="28"/>
        </w:rPr>
        <w:t>Zpráva o situaci v oblasti vnitřní bezpečnosti a veřejného pořádku na území v působnosti Obvodního oddělení Policie České republiky Svitavy za rok 202</w:t>
      </w:r>
      <w:r w:rsidR="004058A9">
        <w:rPr>
          <w:rFonts w:ascii="Arial" w:hAnsi="Arial" w:cs="Arial"/>
          <w:b/>
          <w:color w:val="auto"/>
          <w:sz w:val="28"/>
          <w:szCs w:val="28"/>
        </w:rPr>
        <w:t>3</w:t>
      </w:r>
    </w:p>
    <w:p w:rsidR="001A2BE7" w:rsidRDefault="001A2BE7" w:rsidP="001A2BE7"/>
    <w:p w:rsidR="001A2BE7" w:rsidRDefault="001A2BE7" w:rsidP="001A2BE7"/>
    <w:p w:rsidR="001A2BE7" w:rsidRDefault="001A2BE7" w:rsidP="001A2BE7"/>
    <w:p w:rsidR="001A2BE7" w:rsidRDefault="001A2BE7" w:rsidP="001A2BE7"/>
    <w:p w:rsidR="001A2BE7" w:rsidRDefault="001A2BE7" w:rsidP="001A2BE7"/>
    <w:p w:rsidR="001A2BE7" w:rsidRDefault="001A2BE7" w:rsidP="001A2BE7"/>
    <w:p w:rsidR="001A2BE7" w:rsidRDefault="001A2BE7" w:rsidP="001A2BE7"/>
    <w:p w:rsidR="001A2BE7" w:rsidRDefault="001A2BE7" w:rsidP="001A2BE7"/>
    <w:p w:rsidR="001A2BE7" w:rsidRDefault="001A2BE7" w:rsidP="001A2BE7"/>
    <w:p w:rsidR="001A2BE7" w:rsidRDefault="001A2BE7" w:rsidP="001A2BE7"/>
    <w:p w:rsidR="001A2BE7" w:rsidRDefault="001A2BE7" w:rsidP="001A2BE7"/>
    <w:p w:rsidR="001A2BE7" w:rsidRDefault="001A2BE7" w:rsidP="001A2BE7"/>
    <w:p w:rsidR="001A2BE7" w:rsidRDefault="001A2BE7" w:rsidP="001A2BE7"/>
    <w:p w:rsidR="001A2BE7" w:rsidRDefault="001A2BE7" w:rsidP="001A2BE7"/>
    <w:p w:rsidR="001A2BE7" w:rsidRDefault="001A2BE7" w:rsidP="001A2BE7"/>
    <w:p w:rsidR="00C5723E" w:rsidRDefault="00C5723E" w:rsidP="001A2BE7"/>
    <w:p w:rsidR="00C5723E" w:rsidRDefault="00C5723E" w:rsidP="001A2BE7"/>
    <w:p w:rsidR="00C5723E" w:rsidRDefault="00C5723E" w:rsidP="001A2BE7"/>
    <w:p w:rsidR="001A2BE7" w:rsidRDefault="001A2BE7" w:rsidP="001A2BE7"/>
    <w:p w:rsidR="001A2BE7" w:rsidRDefault="001A2BE7" w:rsidP="001A2BE7"/>
    <w:p w:rsidR="001A2BE7" w:rsidRDefault="001A2BE7" w:rsidP="001A2BE7"/>
    <w:p w:rsidR="001A2BE7" w:rsidRPr="00C578A5" w:rsidRDefault="001A2BE7" w:rsidP="001A2BE7">
      <w:pPr>
        <w:rPr>
          <w:sz w:val="24"/>
          <w:szCs w:val="24"/>
        </w:rPr>
      </w:pPr>
      <w:r w:rsidRPr="00C578A5">
        <w:rPr>
          <w:sz w:val="24"/>
          <w:szCs w:val="24"/>
        </w:rPr>
        <w:t>Zpracoval:</w:t>
      </w:r>
    </w:p>
    <w:p w:rsidR="001A2BE7" w:rsidRPr="00C578A5" w:rsidRDefault="001A2BE7" w:rsidP="001A2BE7">
      <w:pPr>
        <w:rPr>
          <w:sz w:val="24"/>
          <w:szCs w:val="24"/>
        </w:rPr>
      </w:pPr>
      <w:r w:rsidRPr="00C578A5">
        <w:rPr>
          <w:sz w:val="24"/>
          <w:szCs w:val="24"/>
        </w:rPr>
        <w:t xml:space="preserve">npor. Mgr. Josef </w:t>
      </w:r>
      <w:proofErr w:type="spellStart"/>
      <w:r w:rsidRPr="00C578A5">
        <w:rPr>
          <w:sz w:val="24"/>
          <w:szCs w:val="24"/>
        </w:rPr>
        <w:t>Fengl</w:t>
      </w:r>
      <w:proofErr w:type="spellEnd"/>
    </w:p>
    <w:p w:rsidR="001A2BE7" w:rsidRDefault="001A2BE7" w:rsidP="001A2BE7">
      <w:pPr>
        <w:rPr>
          <w:sz w:val="24"/>
          <w:szCs w:val="24"/>
        </w:rPr>
      </w:pPr>
      <w:r w:rsidRPr="00C578A5">
        <w:rPr>
          <w:sz w:val="24"/>
          <w:szCs w:val="24"/>
        </w:rPr>
        <w:t>vedoucí Obvodního oddělení Policie ČR S</w:t>
      </w:r>
      <w:r w:rsidR="00BD7C98" w:rsidRPr="00C578A5">
        <w:rPr>
          <w:sz w:val="24"/>
          <w:szCs w:val="24"/>
        </w:rPr>
        <w:t>vitavy</w:t>
      </w:r>
    </w:p>
    <w:p w:rsidR="005519B5" w:rsidRDefault="005519B5" w:rsidP="001A2BE7">
      <w:pPr>
        <w:rPr>
          <w:sz w:val="24"/>
          <w:szCs w:val="24"/>
        </w:rPr>
      </w:pPr>
    </w:p>
    <w:p w:rsidR="001A2BE7" w:rsidRPr="005519B5" w:rsidRDefault="00BD7C98" w:rsidP="00BD7C98">
      <w:pPr>
        <w:pStyle w:val="Nadpis1"/>
        <w:rPr>
          <w:rFonts w:ascii="Arial" w:eastAsiaTheme="minorHAnsi" w:hAnsi="Arial" w:cs="Arial"/>
          <w:b/>
          <w:color w:val="auto"/>
          <w:sz w:val="28"/>
          <w:szCs w:val="28"/>
        </w:rPr>
      </w:pPr>
      <w:r w:rsidRPr="005519B5">
        <w:rPr>
          <w:rFonts w:ascii="Arial" w:eastAsiaTheme="minorHAnsi" w:hAnsi="Arial" w:cs="Arial"/>
          <w:b/>
          <w:color w:val="auto"/>
          <w:sz w:val="28"/>
          <w:szCs w:val="28"/>
        </w:rPr>
        <w:lastRenderedPageBreak/>
        <w:t xml:space="preserve">1. </w:t>
      </w:r>
      <w:r w:rsidR="00C578A5" w:rsidRPr="005519B5">
        <w:rPr>
          <w:rFonts w:ascii="Arial" w:eastAsiaTheme="minorHAnsi" w:hAnsi="Arial" w:cs="Arial"/>
          <w:b/>
          <w:color w:val="auto"/>
          <w:sz w:val="28"/>
          <w:szCs w:val="28"/>
        </w:rPr>
        <w:t>ÚVOD</w:t>
      </w:r>
    </w:p>
    <w:p w:rsidR="00BD7C98" w:rsidRDefault="005519B5" w:rsidP="00523F4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Zpráva o situaci v oblasti vnitřní bezpečnosti a veřejného pořádku je pravidelným dokumentem zpracovávaným vedoucím </w:t>
      </w:r>
      <w:r w:rsidR="00523F4E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bvodního oddělení Policie Č</w:t>
      </w:r>
      <w:r w:rsidR="00523F4E">
        <w:rPr>
          <w:rFonts w:ascii="Arial" w:hAnsi="Arial" w:cs="Arial"/>
          <w:sz w:val="24"/>
          <w:szCs w:val="24"/>
        </w:rPr>
        <w:t xml:space="preserve">eské republiky ve Svitavách (dále jen OOP Svitavy) výhradně pro Radu a Zastupitelstvo města Svitavy. </w:t>
      </w:r>
    </w:p>
    <w:p w:rsidR="00523F4E" w:rsidRDefault="00523F4E" w:rsidP="00523F4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Zpráva obsahuje analýzu kriminality </w:t>
      </w:r>
      <w:r w:rsidR="003C2242">
        <w:rPr>
          <w:rFonts w:ascii="Arial" w:hAnsi="Arial" w:cs="Arial"/>
          <w:sz w:val="24"/>
          <w:szCs w:val="24"/>
        </w:rPr>
        <w:t>v rámci územní působnosti</w:t>
      </w:r>
      <w:r>
        <w:rPr>
          <w:rFonts w:ascii="Arial" w:hAnsi="Arial" w:cs="Arial"/>
          <w:sz w:val="24"/>
          <w:szCs w:val="24"/>
        </w:rPr>
        <w:t xml:space="preserve"> OOP Svitavy </w:t>
      </w:r>
      <w:r w:rsidR="006479F8">
        <w:rPr>
          <w:rFonts w:ascii="Arial" w:hAnsi="Arial" w:cs="Arial"/>
          <w:sz w:val="24"/>
          <w:szCs w:val="24"/>
        </w:rPr>
        <w:t>za rok 2023 v porovnání s rokem 2022</w:t>
      </w:r>
      <w:r w:rsidR="00F84B17">
        <w:rPr>
          <w:rFonts w:ascii="Arial" w:hAnsi="Arial" w:cs="Arial"/>
          <w:sz w:val="24"/>
          <w:szCs w:val="24"/>
        </w:rPr>
        <w:t>. Číselné údaje vychází z oficiálních statistik a informačních systémů Policie České republiky.</w:t>
      </w:r>
    </w:p>
    <w:p w:rsidR="00AA3213" w:rsidRDefault="006479F8" w:rsidP="00EA557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Bezpečnostní situace v roce 2023</w:t>
      </w:r>
      <w:r w:rsidR="00F84B1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byla nejvíce ovlivněna dalším</w:t>
      </w:r>
      <w:r w:rsidR="00EA557B">
        <w:rPr>
          <w:rFonts w:ascii="Arial" w:hAnsi="Arial" w:cs="Arial"/>
          <w:sz w:val="24"/>
          <w:szCs w:val="24"/>
        </w:rPr>
        <w:t xml:space="preserve"> rozvoj</w:t>
      </w:r>
      <w:r>
        <w:rPr>
          <w:rFonts w:ascii="Arial" w:hAnsi="Arial" w:cs="Arial"/>
          <w:sz w:val="24"/>
          <w:szCs w:val="24"/>
        </w:rPr>
        <w:t>em</w:t>
      </w:r>
      <w:r w:rsidR="00EA557B">
        <w:rPr>
          <w:rFonts w:ascii="Arial" w:hAnsi="Arial" w:cs="Arial"/>
          <w:sz w:val="24"/>
          <w:szCs w:val="24"/>
        </w:rPr>
        <w:t xml:space="preserve"> a výrazný</w:t>
      </w:r>
      <w:r>
        <w:rPr>
          <w:rFonts w:ascii="Arial" w:hAnsi="Arial" w:cs="Arial"/>
          <w:sz w:val="24"/>
          <w:szCs w:val="24"/>
        </w:rPr>
        <w:t>m</w:t>
      </w:r>
      <w:r w:rsidR="00EA55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podílem</w:t>
      </w:r>
      <w:r w:rsidR="00EA557B">
        <w:rPr>
          <w:rFonts w:ascii="Arial" w:hAnsi="Arial" w:cs="Arial"/>
          <w:sz w:val="24"/>
          <w:szCs w:val="24"/>
        </w:rPr>
        <w:t xml:space="preserve"> kriminality páchané v kyberprostoru s využitím různých technik sociálního inženýrství. </w:t>
      </w:r>
      <w:r w:rsidR="003D1DF4">
        <w:rPr>
          <w:rFonts w:ascii="Arial" w:hAnsi="Arial" w:cs="Arial"/>
          <w:sz w:val="24"/>
          <w:szCs w:val="24"/>
        </w:rPr>
        <w:t>Výkon poli</w:t>
      </w:r>
      <w:r>
        <w:rPr>
          <w:rFonts w:ascii="Arial" w:hAnsi="Arial" w:cs="Arial"/>
          <w:sz w:val="24"/>
          <w:szCs w:val="24"/>
        </w:rPr>
        <w:t xml:space="preserve">cejních činností byl na několik měsíců znovu ovlivněn ochranou pozemní hranice se Slovenskem z důvodu pokračující nelegální migrace. Celý rok byly plněny úkoly policie v souvislosti s válečným konfliktem na Ukrajině, nově v důsledku </w:t>
      </w:r>
      <w:r w:rsidR="00001C7A">
        <w:rPr>
          <w:rFonts w:ascii="Arial" w:hAnsi="Arial" w:cs="Arial"/>
          <w:sz w:val="24"/>
          <w:szCs w:val="24"/>
        </w:rPr>
        <w:t>konfliktu v Izraeli, pokračovala trvalá opatření k ochraně tzv. měkkých cílů.</w:t>
      </w:r>
    </w:p>
    <w:p w:rsidR="00AA3213" w:rsidRDefault="00AA3213" w:rsidP="00EA557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průběhu roku</w:t>
      </w:r>
      <w:r w:rsidR="00001C7A">
        <w:rPr>
          <w:rFonts w:ascii="Arial" w:hAnsi="Arial" w:cs="Arial"/>
          <w:sz w:val="24"/>
          <w:szCs w:val="24"/>
        </w:rPr>
        <w:t xml:space="preserve"> 2023</w:t>
      </w:r>
      <w:r>
        <w:rPr>
          <w:rFonts w:ascii="Arial" w:hAnsi="Arial" w:cs="Arial"/>
          <w:sz w:val="24"/>
          <w:szCs w:val="24"/>
        </w:rPr>
        <w:t xml:space="preserve"> došlo na Úz</w:t>
      </w:r>
      <w:r w:rsidR="00001C7A">
        <w:rPr>
          <w:rFonts w:ascii="Arial" w:hAnsi="Arial" w:cs="Arial"/>
          <w:sz w:val="24"/>
          <w:szCs w:val="24"/>
        </w:rPr>
        <w:t>emním odboru PČR ve Svitavách k personální stabilizaci</w:t>
      </w:r>
      <w:r>
        <w:rPr>
          <w:rFonts w:ascii="Arial" w:hAnsi="Arial" w:cs="Arial"/>
          <w:sz w:val="24"/>
          <w:szCs w:val="24"/>
        </w:rPr>
        <w:t xml:space="preserve"> Oddělení hlídkové služby</w:t>
      </w:r>
      <w:r w:rsidR="00001C7A">
        <w:rPr>
          <w:rFonts w:ascii="Arial" w:hAnsi="Arial" w:cs="Arial"/>
          <w:sz w:val="24"/>
          <w:szCs w:val="24"/>
        </w:rPr>
        <w:t>, které primárně plní úkoly tzv. prvosledových hlídek</w:t>
      </w:r>
      <w:r>
        <w:rPr>
          <w:rFonts w:ascii="Arial" w:hAnsi="Arial" w:cs="Arial"/>
          <w:sz w:val="24"/>
          <w:szCs w:val="24"/>
        </w:rPr>
        <w:t xml:space="preserve"> s půso</w:t>
      </w:r>
      <w:r w:rsidR="00001C7A">
        <w:rPr>
          <w:rFonts w:ascii="Arial" w:hAnsi="Arial" w:cs="Arial"/>
          <w:sz w:val="24"/>
          <w:szCs w:val="24"/>
        </w:rPr>
        <w:t xml:space="preserve">bností na celém okrese Svitavy. Na OOP </w:t>
      </w:r>
      <w:r w:rsidR="00AA53CE">
        <w:rPr>
          <w:rFonts w:ascii="Arial" w:hAnsi="Arial" w:cs="Arial"/>
          <w:sz w:val="24"/>
          <w:szCs w:val="24"/>
        </w:rPr>
        <w:t xml:space="preserve">Svitavy </w:t>
      </w:r>
      <w:r w:rsidR="00001C7A">
        <w:rPr>
          <w:rFonts w:ascii="Arial" w:hAnsi="Arial" w:cs="Arial"/>
          <w:sz w:val="24"/>
          <w:szCs w:val="24"/>
        </w:rPr>
        <w:t xml:space="preserve">zůstalo </w:t>
      </w:r>
      <w:r w:rsidR="00AA53CE">
        <w:rPr>
          <w:rFonts w:ascii="Arial" w:hAnsi="Arial" w:cs="Arial"/>
          <w:sz w:val="24"/>
          <w:szCs w:val="24"/>
        </w:rPr>
        <w:t>obsazeno všech 28 plánovaných služebních míst.</w:t>
      </w:r>
    </w:p>
    <w:p w:rsidR="00EA557B" w:rsidRPr="00EA557B" w:rsidRDefault="00EA557B" w:rsidP="00EA557B">
      <w:pPr>
        <w:jc w:val="both"/>
        <w:rPr>
          <w:rFonts w:ascii="Arial" w:hAnsi="Arial" w:cs="Arial"/>
          <w:b/>
          <w:sz w:val="24"/>
          <w:szCs w:val="24"/>
        </w:rPr>
      </w:pPr>
    </w:p>
    <w:p w:rsidR="00BD7C98" w:rsidRDefault="00BD7C98" w:rsidP="00BD7C98"/>
    <w:p w:rsidR="001F2E8F" w:rsidRDefault="001F2E8F" w:rsidP="00BD7C98"/>
    <w:p w:rsidR="001F2E8F" w:rsidRDefault="001F2E8F" w:rsidP="00BD7C98"/>
    <w:p w:rsidR="001F2E8F" w:rsidRDefault="001F2E8F" w:rsidP="00BD7C98"/>
    <w:p w:rsidR="001F2E8F" w:rsidRDefault="001F2E8F" w:rsidP="00BD7C98"/>
    <w:p w:rsidR="001F2E8F" w:rsidRDefault="001F2E8F" w:rsidP="00BD7C98"/>
    <w:p w:rsidR="001F2E8F" w:rsidRDefault="001F2E8F" w:rsidP="00BD7C98"/>
    <w:p w:rsidR="001F2E8F" w:rsidRDefault="001F2E8F" w:rsidP="00BD7C98"/>
    <w:p w:rsidR="001F2E8F" w:rsidRDefault="001F2E8F" w:rsidP="00BD7C98"/>
    <w:p w:rsidR="001F2E8F" w:rsidRDefault="001F2E8F" w:rsidP="00BD7C98"/>
    <w:p w:rsidR="00030178" w:rsidRDefault="00030178" w:rsidP="00BD7C98"/>
    <w:p w:rsidR="00030178" w:rsidRDefault="00030178" w:rsidP="00BD7C98"/>
    <w:p w:rsidR="001F2E8F" w:rsidRDefault="001F2E8F" w:rsidP="00BD7C98"/>
    <w:p w:rsidR="001F2E8F" w:rsidRDefault="001F2E8F" w:rsidP="00BD7C98"/>
    <w:p w:rsidR="001F2E8F" w:rsidRDefault="006479F8" w:rsidP="001F2E8F">
      <w:pPr>
        <w:pStyle w:val="Nadpis1"/>
        <w:rPr>
          <w:rFonts w:ascii="Arial" w:hAnsi="Arial" w:cs="Arial"/>
          <w:b/>
          <w:color w:val="auto"/>
          <w:sz w:val="28"/>
          <w:szCs w:val="28"/>
        </w:rPr>
      </w:pPr>
      <w:r>
        <w:rPr>
          <w:rFonts w:ascii="Arial" w:hAnsi="Arial" w:cs="Arial"/>
          <w:b/>
          <w:color w:val="auto"/>
          <w:sz w:val="28"/>
          <w:szCs w:val="28"/>
        </w:rPr>
        <w:lastRenderedPageBreak/>
        <w:t>2. Statist</w:t>
      </w:r>
      <w:r w:rsidR="001F2E8F" w:rsidRPr="001F2E8F">
        <w:rPr>
          <w:rFonts w:ascii="Arial" w:hAnsi="Arial" w:cs="Arial"/>
          <w:b/>
          <w:color w:val="auto"/>
          <w:sz w:val="28"/>
          <w:szCs w:val="28"/>
        </w:rPr>
        <w:t>ka kriminality</w:t>
      </w:r>
    </w:p>
    <w:p w:rsidR="00D87E06" w:rsidRDefault="00D87E06" w:rsidP="001F2E8F">
      <w:pPr>
        <w:rPr>
          <w:rFonts w:ascii="Arial" w:hAnsi="Arial" w:cs="Arial"/>
          <w:b/>
          <w:sz w:val="28"/>
          <w:szCs w:val="28"/>
        </w:rPr>
      </w:pPr>
    </w:p>
    <w:p w:rsidR="001F2E8F" w:rsidRPr="00950607" w:rsidRDefault="001F2E8F" w:rsidP="001F2E8F">
      <w:pPr>
        <w:rPr>
          <w:rFonts w:ascii="Arial" w:hAnsi="Arial" w:cs="Arial"/>
          <w:b/>
          <w:sz w:val="28"/>
          <w:szCs w:val="28"/>
        </w:rPr>
      </w:pPr>
      <w:r w:rsidRPr="00950607">
        <w:rPr>
          <w:rFonts w:ascii="Arial" w:hAnsi="Arial" w:cs="Arial"/>
          <w:b/>
          <w:sz w:val="28"/>
          <w:szCs w:val="28"/>
        </w:rPr>
        <w:t>Základní</w:t>
      </w:r>
      <w:r w:rsidR="00030178">
        <w:rPr>
          <w:rFonts w:ascii="Arial" w:hAnsi="Arial" w:cs="Arial"/>
          <w:b/>
          <w:sz w:val="28"/>
          <w:szCs w:val="28"/>
        </w:rPr>
        <w:t xml:space="preserve"> údaje o kriminalitě v roce 2023 ve srovnání s rokem 2022</w:t>
      </w:r>
      <w:r w:rsidRPr="00950607">
        <w:rPr>
          <w:rFonts w:ascii="Arial" w:hAnsi="Arial" w:cs="Arial"/>
          <w:b/>
          <w:sz w:val="28"/>
          <w:szCs w:val="28"/>
        </w:rPr>
        <w:t xml:space="preserve"> </w:t>
      </w:r>
    </w:p>
    <w:p w:rsidR="001F2E8F" w:rsidRDefault="001F2E8F" w:rsidP="001F2E8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Celková kriminalita – </w:t>
      </w:r>
      <w:r w:rsidR="00326C03">
        <w:rPr>
          <w:rFonts w:ascii="Arial" w:hAnsi="Arial" w:cs="Arial"/>
          <w:sz w:val="24"/>
          <w:szCs w:val="24"/>
        </w:rPr>
        <w:t xml:space="preserve">počet registrovaných skutků </w:t>
      </w:r>
      <w:r w:rsidR="00326C03">
        <w:rPr>
          <w:rFonts w:ascii="Arial" w:hAnsi="Arial" w:cs="Arial"/>
          <w:sz w:val="24"/>
          <w:szCs w:val="24"/>
        </w:rPr>
        <w:tab/>
        <w:t>365</w:t>
      </w:r>
      <w:r>
        <w:rPr>
          <w:rFonts w:ascii="Arial" w:hAnsi="Arial" w:cs="Arial"/>
          <w:sz w:val="24"/>
          <w:szCs w:val="24"/>
        </w:rPr>
        <w:tab/>
      </w:r>
      <w:r w:rsidR="007E7343">
        <w:rPr>
          <w:rFonts w:ascii="Arial" w:hAnsi="Arial" w:cs="Arial"/>
          <w:sz w:val="24"/>
          <w:szCs w:val="24"/>
        </w:rPr>
        <w:tab/>
      </w:r>
      <w:r w:rsidR="00326C03">
        <w:rPr>
          <w:rFonts w:ascii="Arial" w:hAnsi="Arial" w:cs="Arial"/>
          <w:sz w:val="24"/>
          <w:szCs w:val="24"/>
        </w:rPr>
        <w:t>(+45</w:t>
      </w:r>
      <w:r>
        <w:rPr>
          <w:rFonts w:ascii="Arial" w:hAnsi="Arial" w:cs="Arial"/>
          <w:sz w:val="24"/>
          <w:szCs w:val="24"/>
        </w:rPr>
        <w:t>)</w:t>
      </w:r>
    </w:p>
    <w:p w:rsidR="007E7343" w:rsidRDefault="001F2E8F" w:rsidP="001F2E8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Počet objasněných skutků</w:t>
      </w:r>
      <w:r>
        <w:rPr>
          <w:rFonts w:ascii="Arial" w:hAnsi="Arial" w:cs="Arial"/>
          <w:sz w:val="24"/>
          <w:szCs w:val="24"/>
        </w:rPr>
        <w:tab/>
      </w:r>
      <w:r w:rsidR="007972CE">
        <w:rPr>
          <w:rFonts w:ascii="Arial" w:hAnsi="Arial" w:cs="Arial"/>
          <w:sz w:val="24"/>
          <w:szCs w:val="24"/>
        </w:rPr>
        <w:tab/>
      </w:r>
      <w:r w:rsidR="007972CE">
        <w:rPr>
          <w:rFonts w:ascii="Arial" w:hAnsi="Arial" w:cs="Arial"/>
          <w:sz w:val="24"/>
          <w:szCs w:val="24"/>
        </w:rPr>
        <w:tab/>
      </w:r>
      <w:r w:rsidR="007972CE">
        <w:rPr>
          <w:rFonts w:ascii="Arial" w:hAnsi="Arial" w:cs="Arial"/>
          <w:sz w:val="24"/>
          <w:szCs w:val="24"/>
        </w:rPr>
        <w:tab/>
      </w:r>
      <w:r w:rsidR="007972CE">
        <w:rPr>
          <w:rFonts w:ascii="Arial" w:hAnsi="Arial" w:cs="Arial"/>
          <w:sz w:val="24"/>
          <w:szCs w:val="24"/>
        </w:rPr>
        <w:tab/>
        <w:t>316</w:t>
      </w:r>
      <w:r w:rsidR="007972CE">
        <w:rPr>
          <w:rFonts w:ascii="Arial" w:hAnsi="Arial" w:cs="Arial"/>
          <w:sz w:val="24"/>
          <w:szCs w:val="24"/>
        </w:rPr>
        <w:tab/>
      </w:r>
      <w:r w:rsidR="007972CE">
        <w:rPr>
          <w:rFonts w:ascii="Arial" w:hAnsi="Arial" w:cs="Arial"/>
          <w:sz w:val="24"/>
          <w:szCs w:val="24"/>
        </w:rPr>
        <w:tab/>
        <w:t>(+56</w:t>
      </w:r>
      <w:r w:rsidR="007E7343">
        <w:rPr>
          <w:rFonts w:ascii="Arial" w:hAnsi="Arial" w:cs="Arial"/>
          <w:sz w:val="24"/>
          <w:szCs w:val="24"/>
        </w:rPr>
        <w:t>)</w:t>
      </w:r>
    </w:p>
    <w:p w:rsidR="007E7343" w:rsidRDefault="007972CE" w:rsidP="001F2E8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Celková objasněnost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81,10</w:t>
      </w:r>
      <w:r w:rsidR="007E7343">
        <w:rPr>
          <w:rFonts w:ascii="Arial" w:hAnsi="Arial" w:cs="Arial"/>
          <w:sz w:val="24"/>
          <w:szCs w:val="24"/>
        </w:rPr>
        <w:t xml:space="preserve"> %</w:t>
      </w:r>
      <w:r w:rsidR="001F2E8F">
        <w:rPr>
          <w:rFonts w:ascii="Arial" w:hAnsi="Arial" w:cs="Arial"/>
          <w:sz w:val="24"/>
          <w:szCs w:val="24"/>
        </w:rPr>
        <w:tab/>
      </w:r>
      <w:r w:rsidR="00326C03">
        <w:rPr>
          <w:rFonts w:ascii="Arial" w:hAnsi="Arial" w:cs="Arial"/>
          <w:sz w:val="24"/>
          <w:szCs w:val="24"/>
        </w:rPr>
        <w:t>(+3,29</w:t>
      </w:r>
      <w:r w:rsidR="007E7343">
        <w:rPr>
          <w:rFonts w:ascii="Arial" w:hAnsi="Arial" w:cs="Arial"/>
          <w:sz w:val="24"/>
          <w:szCs w:val="24"/>
        </w:rPr>
        <w:t xml:space="preserve"> %)</w:t>
      </w:r>
      <w:r w:rsidR="00326C03">
        <w:rPr>
          <w:rFonts w:ascii="Arial" w:hAnsi="Arial" w:cs="Arial"/>
          <w:sz w:val="24"/>
          <w:szCs w:val="24"/>
        </w:rPr>
        <w:t xml:space="preserve"> </w:t>
      </w:r>
    </w:p>
    <w:p w:rsidR="007E7343" w:rsidRDefault="00326C03" w:rsidP="001F2E8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Počet stíhaných osob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972CE">
        <w:rPr>
          <w:rFonts w:ascii="Arial" w:hAnsi="Arial" w:cs="Arial"/>
          <w:sz w:val="24"/>
          <w:szCs w:val="24"/>
        </w:rPr>
        <w:t>264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(+</w:t>
      </w:r>
      <w:r w:rsidR="004D040C">
        <w:rPr>
          <w:rFonts w:ascii="Arial" w:hAnsi="Arial" w:cs="Arial"/>
          <w:sz w:val="24"/>
          <w:szCs w:val="24"/>
        </w:rPr>
        <w:t>16</w:t>
      </w:r>
      <w:r w:rsidR="007E7343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</w:p>
    <w:p w:rsidR="007E7343" w:rsidRDefault="007E7343" w:rsidP="001F2E8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Výše</w:t>
      </w:r>
      <w:r w:rsidR="00A27100">
        <w:rPr>
          <w:rFonts w:ascii="Arial" w:hAnsi="Arial" w:cs="Arial"/>
          <w:sz w:val="24"/>
          <w:szCs w:val="24"/>
        </w:rPr>
        <w:t xml:space="preserve"> škody</w:t>
      </w:r>
      <w:r w:rsidR="00A27100">
        <w:rPr>
          <w:rFonts w:ascii="Arial" w:hAnsi="Arial" w:cs="Arial"/>
          <w:sz w:val="24"/>
          <w:szCs w:val="24"/>
        </w:rPr>
        <w:tab/>
      </w:r>
      <w:r w:rsidR="00A27100">
        <w:rPr>
          <w:rFonts w:ascii="Arial" w:hAnsi="Arial" w:cs="Arial"/>
          <w:sz w:val="24"/>
          <w:szCs w:val="24"/>
        </w:rPr>
        <w:tab/>
      </w:r>
      <w:r w:rsidR="00A27100">
        <w:rPr>
          <w:rFonts w:ascii="Arial" w:hAnsi="Arial" w:cs="Arial"/>
          <w:sz w:val="24"/>
          <w:szCs w:val="24"/>
        </w:rPr>
        <w:tab/>
      </w:r>
      <w:r w:rsidR="00A27100">
        <w:rPr>
          <w:rFonts w:ascii="Arial" w:hAnsi="Arial" w:cs="Arial"/>
          <w:sz w:val="24"/>
          <w:szCs w:val="24"/>
        </w:rPr>
        <w:tab/>
      </w:r>
      <w:r w:rsidR="00A27100">
        <w:rPr>
          <w:rFonts w:ascii="Arial" w:hAnsi="Arial" w:cs="Arial"/>
          <w:sz w:val="24"/>
          <w:szCs w:val="24"/>
        </w:rPr>
        <w:tab/>
      </w:r>
      <w:r w:rsidR="00A27100">
        <w:rPr>
          <w:rFonts w:ascii="Arial" w:hAnsi="Arial" w:cs="Arial"/>
          <w:sz w:val="24"/>
          <w:szCs w:val="24"/>
        </w:rPr>
        <w:tab/>
      </w:r>
      <w:r w:rsidR="00A27100">
        <w:rPr>
          <w:rFonts w:ascii="Arial" w:hAnsi="Arial" w:cs="Arial"/>
          <w:sz w:val="24"/>
          <w:szCs w:val="24"/>
        </w:rPr>
        <w:tab/>
        <w:t>29,9 mil. Kč</w:t>
      </w:r>
      <w:r w:rsidR="00A27100">
        <w:rPr>
          <w:rFonts w:ascii="Arial" w:hAnsi="Arial" w:cs="Arial"/>
          <w:sz w:val="24"/>
          <w:szCs w:val="24"/>
        </w:rPr>
        <w:tab/>
        <w:t>(+12,8</w:t>
      </w:r>
      <w:r>
        <w:rPr>
          <w:rFonts w:ascii="Arial" w:hAnsi="Arial" w:cs="Arial"/>
          <w:sz w:val="24"/>
          <w:szCs w:val="24"/>
        </w:rPr>
        <w:t xml:space="preserve"> mil. Kč)</w:t>
      </w:r>
      <w:r w:rsidR="00A27100">
        <w:rPr>
          <w:rFonts w:ascii="Arial" w:hAnsi="Arial" w:cs="Arial"/>
          <w:sz w:val="24"/>
          <w:szCs w:val="24"/>
        </w:rPr>
        <w:t xml:space="preserve"> </w:t>
      </w:r>
    </w:p>
    <w:p w:rsidR="004D040C" w:rsidRDefault="004D040C" w:rsidP="001F2E8F">
      <w:pPr>
        <w:rPr>
          <w:rFonts w:ascii="Arial" w:hAnsi="Arial" w:cs="Arial"/>
          <w:sz w:val="24"/>
          <w:szCs w:val="24"/>
        </w:rPr>
      </w:pPr>
    </w:p>
    <w:p w:rsidR="007972CE" w:rsidRDefault="00A27100" w:rsidP="001E1B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roce 2023</w:t>
      </w:r>
      <w:r w:rsidR="007E7343">
        <w:rPr>
          <w:rFonts w:ascii="Arial" w:hAnsi="Arial" w:cs="Arial"/>
          <w:sz w:val="24"/>
          <w:szCs w:val="24"/>
        </w:rPr>
        <w:t xml:space="preserve"> bylo registrováno </w:t>
      </w:r>
      <w:r>
        <w:rPr>
          <w:rFonts w:ascii="Arial" w:hAnsi="Arial" w:cs="Arial"/>
          <w:sz w:val="24"/>
          <w:szCs w:val="24"/>
        </w:rPr>
        <w:t>o 45 více trestných činů než v roce 2022</w:t>
      </w:r>
      <w:r w:rsidR="007E7343">
        <w:rPr>
          <w:rFonts w:ascii="Arial" w:hAnsi="Arial" w:cs="Arial"/>
          <w:sz w:val="24"/>
          <w:szCs w:val="24"/>
        </w:rPr>
        <w:t>,</w:t>
      </w:r>
      <w:r w:rsidR="007972CE">
        <w:rPr>
          <w:rFonts w:ascii="Arial" w:hAnsi="Arial" w:cs="Arial"/>
          <w:sz w:val="24"/>
          <w:szCs w:val="24"/>
        </w:rPr>
        <w:t xml:space="preserve"> přesto se podařilo v celkové objasněnosti přesáhnout hranici 80 %. </w:t>
      </w:r>
    </w:p>
    <w:p w:rsidR="001F2E8F" w:rsidRDefault="000D0C4D" w:rsidP="001E1B5A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 celkového počtu 365</w:t>
      </w:r>
      <w:r w:rsidR="001E1B5A" w:rsidRPr="001F42C8">
        <w:rPr>
          <w:rFonts w:ascii="Arial" w:hAnsi="Arial" w:cs="Arial"/>
          <w:b/>
          <w:sz w:val="24"/>
          <w:szCs w:val="24"/>
        </w:rPr>
        <w:t xml:space="preserve"> registrov</w:t>
      </w:r>
      <w:r>
        <w:rPr>
          <w:rFonts w:ascii="Arial" w:hAnsi="Arial" w:cs="Arial"/>
          <w:b/>
          <w:sz w:val="24"/>
          <w:szCs w:val="24"/>
        </w:rPr>
        <w:t>aných trestných činů připadá 199 na město Svitavy, 166</w:t>
      </w:r>
      <w:r w:rsidR="001E1B5A" w:rsidRPr="001F42C8">
        <w:rPr>
          <w:rFonts w:ascii="Arial" w:hAnsi="Arial" w:cs="Arial"/>
          <w:b/>
          <w:sz w:val="24"/>
          <w:szCs w:val="24"/>
        </w:rPr>
        <w:t xml:space="preserve"> na ostatní obce v působnosti OOP Svitavy.</w:t>
      </w:r>
    </w:p>
    <w:p w:rsidR="007972CE" w:rsidRPr="001F42C8" w:rsidRDefault="007972CE" w:rsidP="001E1B5A">
      <w:pPr>
        <w:jc w:val="both"/>
        <w:rPr>
          <w:rFonts w:ascii="Arial" w:hAnsi="Arial" w:cs="Arial"/>
          <w:b/>
          <w:sz w:val="24"/>
          <w:szCs w:val="24"/>
        </w:rPr>
      </w:pPr>
    </w:p>
    <w:p w:rsidR="00950607" w:rsidRDefault="00950607" w:rsidP="001F2E8F">
      <w:pPr>
        <w:rPr>
          <w:rFonts w:ascii="Arial" w:hAnsi="Arial" w:cs="Arial"/>
          <w:b/>
          <w:sz w:val="28"/>
          <w:szCs w:val="28"/>
        </w:rPr>
      </w:pPr>
      <w:r w:rsidRPr="00950607">
        <w:rPr>
          <w:rFonts w:ascii="Arial" w:hAnsi="Arial" w:cs="Arial"/>
          <w:b/>
          <w:sz w:val="28"/>
          <w:szCs w:val="28"/>
        </w:rPr>
        <w:t>Přehled základních druhů kriminality</w:t>
      </w:r>
      <w:r w:rsidR="00BD23C3">
        <w:rPr>
          <w:rFonts w:ascii="Arial" w:hAnsi="Arial" w:cs="Arial"/>
          <w:b/>
          <w:sz w:val="28"/>
          <w:szCs w:val="28"/>
        </w:rPr>
        <w:t xml:space="preserve"> </w:t>
      </w:r>
      <w:r w:rsidR="00BD23C3" w:rsidRPr="00BD23C3">
        <w:rPr>
          <w:rFonts w:ascii="Arial" w:hAnsi="Arial" w:cs="Arial"/>
          <w:sz w:val="28"/>
          <w:szCs w:val="28"/>
        </w:rPr>
        <w:t>(registrováno/objasněno</w:t>
      </w:r>
      <w:r w:rsidR="00BD6D3A">
        <w:rPr>
          <w:rFonts w:ascii="Arial" w:hAnsi="Arial" w:cs="Arial"/>
          <w:sz w:val="28"/>
          <w:szCs w:val="28"/>
        </w:rP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26"/>
        <w:gridCol w:w="1474"/>
        <w:gridCol w:w="1474"/>
        <w:gridCol w:w="1474"/>
        <w:gridCol w:w="1474"/>
      </w:tblGrid>
      <w:tr w:rsidR="0052185D" w:rsidTr="00DF0011">
        <w:trPr>
          <w:trHeight w:val="516"/>
        </w:trPr>
        <w:tc>
          <w:tcPr>
            <w:tcW w:w="3126" w:type="dxa"/>
            <w:shd w:val="clear" w:color="auto" w:fill="9CC3E5" w:themeFill="accent1"/>
            <w:vAlign w:val="center"/>
          </w:tcPr>
          <w:p w:rsidR="0052185D" w:rsidRPr="00950607" w:rsidRDefault="0052185D" w:rsidP="00DF001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DRUH KRIMINALITY</w:t>
            </w:r>
          </w:p>
        </w:tc>
        <w:tc>
          <w:tcPr>
            <w:tcW w:w="2948" w:type="dxa"/>
            <w:gridSpan w:val="2"/>
            <w:shd w:val="clear" w:color="auto" w:fill="9CC3E5" w:themeFill="accent1"/>
            <w:vAlign w:val="center"/>
          </w:tcPr>
          <w:p w:rsidR="0052185D" w:rsidRPr="00950607" w:rsidRDefault="000D0C4D" w:rsidP="00DF001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  <w:tc>
          <w:tcPr>
            <w:tcW w:w="2948" w:type="dxa"/>
            <w:gridSpan w:val="2"/>
            <w:shd w:val="clear" w:color="auto" w:fill="9CC3E5" w:themeFill="accent1"/>
            <w:vAlign w:val="center"/>
          </w:tcPr>
          <w:p w:rsidR="0052185D" w:rsidRPr="00950607" w:rsidRDefault="000D0C4D" w:rsidP="00DF001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2023</w:t>
            </w:r>
          </w:p>
        </w:tc>
      </w:tr>
      <w:tr w:rsidR="00BD6D3A" w:rsidTr="0052185D">
        <w:trPr>
          <w:trHeight w:val="379"/>
        </w:trPr>
        <w:tc>
          <w:tcPr>
            <w:tcW w:w="3126" w:type="dxa"/>
            <w:vAlign w:val="center"/>
          </w:tcPr>
          <w:p w:rsidR="00BD6D3A" w:rsidRPr="00BD23C3" w:rsidRDefault="00BD6D3A" w:rsidP="00BD6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násilná</w:t>
            </w:r>
          </w:p>
        </w:tc>
        <w:tc>
          <w:tcPr>
            <w:tcW w:w="1474" w:type="dxa"/>
            <w:vAlign w:val="center"/>
          </w:tcPr>
          <w:p w:rsidR="00BD6D3A" w:rsidRPr="00BD23C3" w:rsidRDefault="000D0C4D" w:rsidP="00BD6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474" w:type="dxa"/>
            <w:vAlign w:val="center"/>
          </w:tcPr>
          <w:p w:rsidR="00BD6D3A" w:rsidRPr="00BD23C3" w:rsidRDefault="000D0C4D" w:rsidP="00BD6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85,71</w:t>
            </w:r>
            <w:r w:rsidR="00BD6D3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74" w:type="dxa"/>
            <w:vAlign w:val="center"/>
          </w:tcPr>
          <w:p w:rsidR="00BD6D3A" w:rsidRPr="00BD23C3" w:rsidRDefault="000D0C4D" w:rsidP="00BD6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1474" w:type="dxa"/>
            <w:vAlign w:val="center"/>
          </w:tcPr>
          <w:p w:rsidR="00BD6D3A" w:rsidRPr="00BD23C3" w:rsidRDefault="00F80E68" w:rsidP="00BD6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88,37</w:t>
            </w:r>
            <w:r w:rsidR="00BD6D3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BD6D3A" w:rsidTr="0052185D">
        <w:trPr>
          <w:trHeight w:val="379"/>
        </w:trPr>
        <w:tc>
          <w:tcPr>
            <w:tcW w:w="3126" w:type="dxa"/>
            <w:vAlign w:val="center"/>
          </w:tcPr>
          <w:p w:rsidR="00BD6D3A" w:rsidRPr="00BD23C3" w:rsidRDefault="00BD6D3A" w:rsidP="00BD6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mravnostní</w:t>
            </w:r>
          </w:p>
        </w:tc>
        <w:tc>
          <w:tcPr>
            <w:tcW w:w="1474" w:type="dxa"/>
            <w:vAlign w:val="center"/>
          </w:tcPr>
          <w:p w:rsidR="00BD6D3A" w:rsidRPr="00BD23C3" w:rsidRDefault="000D0C4D" w:rsidP="00BD6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74" w:type="dxa"/>
            <w:vAlign w:val="center"/>
          </w:tcPr>
          <w:p w:rsidR="00BD6D3A" w:rsidRPr="00BD23C3" w:rsidRDefault="00BD6D3A" w:rsidP="00BD6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  <w:tc>
          <w:tcPr>
            <w:tcW w:w="1474" w:type="dxa"/>
            <w:vAlign w:val="center"/>
          </w:tcPr>
          <w:p w:rsidR="00BD6D3A" w:rsidRPr="00BD23C3" w:rsidRDefault="000D0C4D" w:rsidP="00BD6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74" w:type="dxa"/>
            <w:vAlign w:val="center"/>
          </w:tcPr>
          <w:p w:rsidR="00BD6D3A" w:rsidRPr="00BD23C3" w:rsidRDefault="00F80E68" w:rsidP="00BD6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="00BD6D3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BD6D3A" w:rsidTr="0052185D">
        <w:trPr>
          <w:trHeight w:val="379"/>
        </w:trPr>
        <w:tc>
          <w:tcPr>
            <w:tcW w:w="3126" w:type="dxa"/>
            <w:vAlign w:val="center"/>
          </w:tcPr>
          <w:p w:rsidR="00BD6D3A" w:rsidRPr="00BD23C3" w:rsidRDefault="00BD6D3A" w:rsidP="00BD6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majetková</w:t>
            </w:r>
          </w:p>
        </w:tc>
        <w:tc>
          <w:tcPr>
            <w:tcW w:w="1474" w:type="dxa"/>
            <w:vAlign w:val="center"/>
          </w:tcPr>
          <w:p w:rsidR="00BD6D3A" w:rsidRPr="000D0C4D" w:rsidRDefault="000D0C4D" w:rsidP="00BD6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4D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474" w:type="dxa"/>
            <w:vAlign w:val="center"/>
          </w:tcPr>
          <w:p w:rsidR="00BD6D3A" w:rsidRPr="00BD23C3" w:rsidRDefault="000D0C4D" w:rsidP="00BD6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</w:t>
            </w:r>
            <w:r w:rsidR="00BD6D3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74" w:type="dxa"/>
            <w:vAlign w:val="center"/>
          </w:tcPr>
          <w:p w:rsidR="00BD6D3A" w:rsidRPr="000D0C4D" w:rsidRDefault="000D0C4D" w:rsidP="00BD6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4D">
              <w:rPr>
                <w:rFonts w:ascii="Arial" w:hAnsi="Arial" w:cs="Arial"/>
                <w:sz w:val="24"/>
                <w:szCs w:val="24"/>
              </w:rPr>
              <w:t>124</w:t>
            </w:r>
          </w:p>
        </w:tc>
        <w:tc>
          <w:tcPr>
            <w:tcW w:w="1474" w:type="dxa"/>
            <w:vAlign w:val="center"/>
          </w:tcPr>
          <w:p w:rsidR="00BD6D3A" w:rsidRPr="00BD23C3" w:rsidRDefault="00F80E68" w:rsidP="00BD6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67,74</w:t>
            </w:r>
            <w:r w:rsidR="00BD6D3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BD6D3A" w:rsidTr="0052185D">
        <w:trPr>
          <w:trHeight w:val="379"/>
        </w:trPr>
        <w:tc>
          <w:tcPr>
            <w:tcW w:w="3126" w:type="dxa"/>
            <w:vAlign w:val="center"/>
          </w:tcPr>
          <w:p w:rsidR="00BD6D3A" w:rsidRPr="00BD23C3" w:rsidRDefault="00BD6D3A" w:rsidP="00BD6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ostatní</w:t>
            </w:r>
          </w:p>
        </w:tc>
        <w:tc>
          <w:tcPr>
            <w:tcW w:w="1474" w:type="dxa"/>
            <w:vAlign w:val="center"/>
          </w:tcPr>
          <w:p w:rsidR="00BD6D3A" w:rsidRPr="00BD23C3" w:rsidRDefault="000D0C4D" w:rsidP="00BD6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1474" w:type="dxa"/>
            <w:vAlign w:val="center"/>
          </w:tcPr>
          <w:p w:rsidR="00BD6D3A" w:rsidRPr="00BD23C3" w:rsidRDefault="000D0C4D" w:rsidP="00BD6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93,65</w:t>
            </w:r>
            <w:r w:rsidR="00BD6D3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74" w:type="dxa"/>
            <w:vAlign w:val="center"/>
          </w:tcPr>
          <w:p w:rsidR="00BD6D3A" w:rsidRPr="00BD23C3" w:rsidRDefault="000D0C4D" w:rsidP="00BD6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1474" w:type="dxa"/>
            <w:vAlign w:val="center"/>
          </w:tcPr>
          <w:p w:rsidR="00BD6D3A" w:rsidRPr="00BD23C3" w:rsidRDefault="000D0C4D" w:rsidP="00BD6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97,53</w:t>
            </w:r>
            <w:r w:rsidR="00BD6D3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BD6D3A" w:rsidTr="0052185D">
        <w:trPr>
          <w:trHeight w:val="379"/>
        </w:trPr>
        <w:tc>
          <w:tcPr>
            <w:tcW w:w="3126" w:type="dxa"/>
            <w:vAlign w:val="center"/>
          </w:tcPr>
          <w:p w:rsidR="00BD6D3A" w:rsidRPr="00BD23C3" w:rsidRDefault="00BD6D3A" w:rsidP="00BD6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hospodářská</w:t>
            </w:r>
          </w:p>
        </w:tc>
        <w:tc>
          <w:tcPr>
            <w:tcW w:w="1474" w:type="dxa"/>
            <w:vAlign w:val="center"/>
          </w:tcPr>
          <w:p w:rsidR="00BD6D3A" w:rsidRPr="00BD23C3" w:rsidRDefault="000D0C4D" w:rsidP="00BD6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1474" w:type="dxa"/>
            <w:vAlign w:val="center"/>
          </w:tcPr>
          <w:p w:rsidR="00BD6D3A" w:rsidRPr="00BD23C3" w:rsidRDefault="000D0C4D" w:rsidP="00BD6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63,64</w:t>
            </w:r>
            <w:r w:rsidR="00BD6D3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74" w:type="dxa"/>
            <w:vAlign w:val="center"/>
          </w:tcPr>
          <w:p w:rsidR="00BD6D3A" w:rsidRPr="00BD23C3" w:rsidRDefault="000D0C4D" w:rsidP="00BD6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474" w:type="dxa"/>
            <w:vAlign w:val="center"/>
          </w:tcPr>
          <w:p w:rsidR="00BD6D3A" w:rsidRPr="00BD23C3" w:rsidRDefault="000D0C4D" w:rsidP="00BD6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70,37</w:t>
            </w:r>
            <w:r w:rsidR="00BD6D3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BD6D3A" w:rsidTr="0052185D">
        <w:trPr>
          <w:trHeight w:val="379"/>
        </w:trPr>
        <w:tc>
          <w:tcPr>
            <w:tcW w:w="3126" w:type="dxa"/>
            <w:vAlign w:val="center"/>
          </w:tcPr>
          <w:p w:rsidR="00BD6D3A" w:rsidRPr="00BD23C3" w:rsidRDefault="00BD6D3A" w:rsidP="00BD6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zbývající</w:t>
            </w:r>
          </w:p>
        </w:tc>
        <w:tc>
          <w:tcPr>
            <w:tcW w:w="1474" w:type="dxa"/>
            <w:vAlign w:val="center"/>
          </w:tcPr>
          <w:p w:rsidR="00BD6D3A" w:rsidRPr="00BD23C3" w:rsidRDefault="000D0C4D" w:rsidP="00BD6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73</w:t>
            </w:r>
          </w:p>
        </w:tc>
        <w:tc>
          <w:tcPr>
            <w:tcW w:w="1474" w:type="dxa"/>
            <w:vAlign w:val="center"/>
          </w:tcPr>
          <w:p w:rsidR="00BD6D3A" w:rsidRPr="00BD23C3" w:rsidRDefault="000D0C4D" w:rsidP="00BD6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87,67</w:t>
            </w:r>
            <w:r w:rsidR="00BD6D3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74" w:type="dxa"/>
            <w:vAlign w:val="center"/>
          </w:tcPr>
          <w:p w:rsidR="00BD6D3A" w:rsidRPr="00BD23C3" w:rsidRDefault="000D0C4D" w:rsidP="00BD6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</w:t>
            </w:r>
          </w:p>
        </w:tc>
        <w:tc>
          <w:tcPr>
            <w:tcW w:w="1474" w:type="dxa"/>
            <w:vAlign w:val="center"/>
          </w:tcPr>
          <w:p w:rsidR="00BD6D3A" w:rsidRPr="00BD23C3" w:rsidRDefault="00F80E68" w:rsidP="00BD6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87,34</w:t>
            </w:r>
            <w:r w:rsidR="00BD6D3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BD6D3A" w:rsidTr="0052185D">
        <w:trPr>
          <w:trHeight w:val="379"/>
        </w:trPr>
        <w:tc>
          <w:tcPr>
            <w:tcW w:w="3126" w:type="dxa"/>
            <w:vAlign w:val="center"/>
          </w:tcPr>
          <w:p w:rsidR="00BD6D3A" w:rsidRPr="005334E3" w:rsidRDefault="00BD6D3A" w:rsidP="00BD6D3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334E3">
              <w:rPr>
                <w:rFonts w:ascii="Arial" w:hAnsi="Arial" w:cs="Arial"/>
                <w:b/>
                <w:sz w:val="24"/>
                <w:szCs w:val="24"/>
              </w:rPr>
              <w:t>CELKEM</w:t>
            </w:r>
          </w:p>
        </w:tc>
        <w:tc>
          <w:tcPr>
            <w:tcW w:w="1474" w:type="dxa"/>
            <w:vAlign w:val="center"/>
          </w:tcPr>
          <w:p w:rsidR="00BD6D3A" w:rsidRPr="0052185D" w:rsidRDefault="00BD6D3A" w:rsidP="00BD6D3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253</w:t>
            </w:r>
          </w:p>
        </w:tc>
        <w:tc>
          <w:tcPr>
            <w:tcW w:w="1474" w:type="dxa"/>
            <w:vAlign w:val="center"/>
          </w:tcPr>
          <w:p w:rsidR="00BD6D3A" w:rsidRPr="0052185D" w:rsidRDefault="000D0C4D" w:rsidP="00BD6D3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77,81</w:t>
            </w:r>
            <w:r w:rsidR="00BD6D3A" w:rsidRPr="0052185D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1474" w:type="dxa"/>
            <w:vAlign w:val="center"/>
          </w:tcPr>
          <w:p w:rsidR="00BD6D3A" w:rsidRPr="0052185D" w:rsidRDefault="00BD6D3A" w:rsidP="00BD6D3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320</w:t>
            </w:r>
          </w:p>
        </w:tc>
        <w:tc>
          <w:tcPr>
            <w:tcW w:w="1474" w:type="dxa"/>
            <w:vAlign w:val="center"/>
          </w:tcPr>
          <w:p w:rsidR="00BD6D3A" w:rsidRPr="0052185D" w:rsidRDefault="00F80E68" w:rsidP="00BD6D3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81,10</w:t>
            </w:r>
            <w:r w:rsidR="00BD6D3A" w:rsidRPr="0052185D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</w:tr>
    </w:tbl>
    <w:p w:rsidR="00877D60" w:rsidRDefault="00877D60" w:rsidP="00B764FE">
      <w:pPr>
        <w:jc w:val="both"/>
        <w:rPr>
          <w:rFonts w:ascii="Arial" w:hAnsi="Arial" w:cs="Arial"/>
          <w:sz w:val="24"/>
          <w:szCs w:val="24"/>
        </w:rPr>
      </w:pPr>
    </w:p>
    <w:p w:rsidR="008C0055" w:rsidRPr="008C0055" w:rsidRDefault="008C0055" w:rsidP="002055DE">
      <w:pPr>
        <w:jc w:val="both"/>
        <w:rPr>
          <w:rFonts w:ascii="Arial" w:hAnsi="Arial" w:cs="Arial"/>
          <w:b/>
          <w:sz w:val="28"/>
          <w:szCs w:val="28"/>
        </w:rPr>
      </w:pPr>
      <w:r w:rsidRPr="008C0055">
        <w:rPr>
          <w:rFonts w:ascii="Arial" w:hAnsi="Arial" w:cs="Arial"/>
          <w:b/>
          <w:sz w:val="28"/>
          <w:szCs w:val="28"/>
        </w:rPr>
        <w:t>Nejčastěji se vyskytující trestné činy podle druhů trestné činnosti</w:t>
      </w:r>
    </w:p>
    <w:p w:rsidR="00877D60" w:rsidRPr="008C0055" w:rsidRDefault="00AF5C1D" w:rsidP="008C005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C0055">
        <w:rPr>
          <w:rFonts w:ascii="Arial" w:hAnsi="Arial" w:cs="Arial"/>
          <w:b/>
          <w:sz w:val="24"/>
          <w:szCs w:val="24"/>
        </w:rPr>
        <w:t xml:space="preserve">Násilná: </w:t>
      </w:r>
      <w:r w:rsidRPr="008C0055">
        <w:rPr>
          <w:rFonts w:ascii="Arial" w:hAnsi="Arial" w:cs="Arial"/>
          <w:sz w:val="24"/>
          <w:szCs w:val="24"/>
        </w:rPr>
        <w:t>úmyslné ublížení na zdraví, porušování domovní svobody, nebezpečné vyhrožování</w:t>
      </w:r>
    </w:p>
    <w:p w:rsidR="00AF5C1D" w:rsidRPr="008C0055" w:rsidRDefault="00AF5C1D" w:rsidP="008C005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C0055">
        <w:rPr>
          <w:rFonts w:ascii="Arial" w:hAnsi="Arial" w:cs="Arial"/>
          <w:b/>
          <w:sz w:val="24"/>
          <w:szCs w:val="24"/>
        </w:rPr>
        <w:t>Mravnostní:</w:t>
      </w:r>
      <w:r w:rsidRPr="008C0055">
        <w:rPr>
          <w:rFonts w:ascii="Arial" w:hAnsi="Arial" w:cs="Arial"/>
          <w:sz w:val="24"/>
          <w:szCs w:val="24"/>
        </w:rPr>
        <w:t xml:space="preserve"> znásilnění, trestné činy související s pornografií</w:t>
      </w:r>
    </w:p>
    <w:p w:rsidR="00AF5C1D" w:rsidRPr="008C0055" w:rsidRDefault="00AF5C1D" w:rsidP="008C005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C0055">
        <w:rPr>
          <w:rFonts w:ascii="Arial" w:hAnsi="Arial" w:cs="Arial"/>
          <w:b/>
          <w:sz w:val="24"/>
          <w:szCs w:val="24"/>
        </w:rPr>
        <w:t>Majetková:</w:t>
      </w:r>
      <w:r w:rsidRPr="008C0055">
        <w:rPr>
          <w:rFonts w:ascii="Arial" w:hAnsi="Arial" w:cs="Arial"/>
          <w:sz w:val="24"/>
          <w:szCs w:val="24"/>
        </w:rPr>
        <w:t xml:space="preserve"> </w:t>
      </w:r>
      <w:r w:rsidR="003101B3" w:rsidRPr="008C0055">
        <w:rPr>
          <w:rFonts w:ascii="Arial" w:hAnsi="Arial" w:cs="Arial"/>
          <w:sz w:val="24"/>
          <w:szCs w:val="24"/>
        </w:rPr>
        <w:t>různé druhy podvodů, krádež</w:t>
      </w:r>
      <w:r w:rsidRPr="008C0055">
        <w:rPr>
          <w:rFonts w:ascii="Arial" w:hAnsi="Arial" w:cs="Arial"/>
          <w:sz w:val="24"/>
          <w:szCs w:val="24"/>
        </w:rPr>
        <w:t xml:space="preserve"> (nejčastěji v obchodech, </w:t>
      </w:r>
      <w:r w:rsidR="003101B3" w:rsidRPr="008C0055">
        <w:rPr>
          <w:rFonts w:ascii="Arial" w:hAnsi="Arial" w:cs="Arial"/>
          <w:sz w:val="24"/>
          <w:szCs w:val="24"/>
        </w:rPr>
        <w:t>krádeže jízdních kol), poškození cizí věci, neoprávněné opatření, padělání a pozměnění platebního prostředku</w:t>
      </w:r>
    </w:p>
    <w:p w:rsidR="003101B3" w:rsidRPr="008C0055" w:rsidRDefault="003101B3" w:rsidP="008C005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C0055">
        <w:rPr>
          <w:rFonts w:ascii="Arial" w:hAnsi="Arial" w:cs="Arial"/>
          <w:b/>
          <w:sz w:val="24"/>
          <w:szCs w:val="24"/>
        </w:rPr>
        <w:lastRenderedPageBreak/>
        <w:t>Ostatní:</w:t>
      </w:r>
      <w:r w:rsidRPr="008C0055">
        <w:rPr>
          <w:rFonts w:ascii="Arial" w:hAnsi="Arial" w:cs="Arial"/>
          <w:sz w:val="24"/>
          <w:szCs w:val="24"/>
        </w:rPr>
        <w:t xml:space="preserve"> maření výkonu úředního rozhodnutí, trestné činy spojené s omamnými a psychotropními látkami a jedy, výtržnictví</w:t>
      </w:r>
    </w:p>
    <w:p w:rsidR="003101B3" w:rsidRPr="008C0055" w:rsidRDefault="003101B3" w:rsidP="008C005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C0055">
        <w:rPr>
          <w:rFonts w:ascii="Arial" w:hAnsi="Arial" w:cs="Arial"/>
          <w:b/>
          <w:sz w:val="24"/>
          <w:szCs w:val="24"/>
        </w:rPr>
        <w:t>Hospodářská:</w:t>
      </w:r>
      <w:r w:rsidRPr="008C0055">
        <w:rPr>
          <w:rFonts w:ascii="Arial" w:hAnsi="Arial" w:cs="Arial"/>
          <w:sz w:val="24"/>
          <w:szCs w:val="24"/>
        </w:rPr>
        <w:t xml:space="preserve"> podvod včetně úvěrového a dotačního, zpronevěra, daňová trestná činnost</w:t>
      </w:r>
    </w:p>
    <w:p w:rsidR="003101B3" w:rsidRPr="008C0055" w:rsidRDefault="003101B3" w:rsidP="008C005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C0055">
        <w:rPr>
          <w:rFonts w:ascii="Arial" w:hAnsi="Arial" w:cs="Arial"/>
          <w:b/>
          <w:sz w:val="24"/>
          <w:szCs w:val="24"/>
        </w:rPr>
        <w:t>Zbývající:</w:t>
      </w:r>
      <w:r w:rsidRPr="008C0055">
        <w:rPr>
          <w:rFonts w:ascii="Arial" w:hAnsi="Arial" w:cs="Arial"/>
          <w:sz w:val="24"/>
          <w:szCs w:val="24"/>
        </w:rPr>
        <w:t xml:space="preserve"> ohrožení pod vlivem návykové látky, zanedbání povinné výživy</w:t>
      </w:r>
    </w:p>
    <w:p w:rsidR="001F42C8" w:rsidRDefault="001F42C8" w:rsidP="002055DE">
      <w:pPr>
        <w:jc w:val="both"/>
        <w:rPr>
          <w:rFonts w:ascii="Arial" w:hAnsi="Arial" w:cs="Arial"/>
          <w:sz w:val="24"/>
          <w:szCs w:val="24"/>
        </w:rPr>
      </w:pPr>
    </w:p>
    <w:p w:rsidR="00950607" w:rsidRDefault="008C0055" w:rsidP="008C3447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Pachatelé trestné činnosti</w:t>
      </w:r>
    </w:p>
    <w:p w:rsidR="008C0055" w:rsidRDefault="008C0055" w:rsidP="008C0055">
      <w:pPr>
        <w:spacing w:before="0" w:after="0"/>
        <w:rPr>
          <w:rFonts w:ascii="Arial" w:hAnsi="Arial" w:cs="Arial"/>
          <w:b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8C3447" w:rsidTr="008C0055">
        <w:trPr>
          <w:trHeight w:val="340"/>
        </w:trPr>
        <w:tc>
          <w:tcPr>
            <w:tcW w:w="1510" w:type="dxa"/>
            <w:vAlign w:val="center"/>
          </w:tcPr>
          <w:p w:rsidR="008C3447" w:rsidRDefault="008C3447" w:rsidP="008C005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9CC3E5" w:themeFill="accent1"/>
            <w:vAlign w:val="center"/>
          </w:tcPr>
          <w:p w:rsidR="008C3447" w:rsidRPr="008C3447" w:rsidRDefault="008C3447" w:rsidP="008C005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muži</w:t>
            </w:r>
          </w:p>
        </w:tc>
        <w:tc>
          <w:tcPr>
            <w:tcW w:w="1510" w:type="dxa"/>
            <w:shd w:val="clear" w:color="auto" w:fill="9CC3E5" w:themeFill="accent1"/>
            <w:vAlign w:val="center"/>
          </w:tcPr>
          <w:p w:rsidR="008C3447" w:rsidRPr="008C3447" w:rsidRDefault="008C3447" w:rsidP="008C005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ženy</w:t>
            </w:r>
          </w:p>
        </w:tc>
        <w:tc>
          <w:tcPr>
            <w:tcW w:w="1510" w:type="dxa"/>
            <w:shd w:val="clear" w:color="auto" w:fill="9CC3E5" w:themeFill="accent1"/>
            <w:vAlign w:val="center"/>
          </w:tcPr>
          <w:p w:rsidR="008C3447" w:rsidRPr="008C3447" w:rsidRDefault="008C3447" w:rsidP="008C005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děti</w:t>
            </w:r>
          </w:p>
        </w:tc>
        <w:tc>
          <w:tcPr>
            <w:tcW w:w="1511" w:type="dxa"/>
            <w:shd w:val="clear" w:color="auto" w:fill="9CC3E5" w:themeFill="accent1"/>
            <w:vAlign w:val="center"/>
          </w:tcPr>
          <w:p w:rsidR="008C3447" w:rsidRPr="008C3447" w:rsidRDefault="008C3447" w:rsidP="008C005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recidivisté</w:t>
            </w:r>
          </w:p>
        </w:tc>
        <w:tc>
          <w:tcPr>
            <w:tcW w:w="1511" w:type="dxa"/>
            <w:shd w:val="clear" w:color="auto" w:fill="9CC3E5" w:themeFill="accent1"/>
            <w:vAlign w:val="center"/>
          </w:tcPr>
          <w:p w:rsidR="008C3447" w:rsidRPr="008C3447" w:rsidRDefault="008C3447" w:rsidP="008C005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cizinci</w:t>
            </w:r>
          </w:p>
        </w:tc>
      </w:tr>
      <w:tr w:rsidR="008C3447" w:rsidTr="008C0055">
        <w:trPr>
          <w:trHeight w:val="340"/>
        </w:trPr>
        <w:tc>
          <w:tcPr>
            <w:tcW w:w="1510" w:type="dxa"/>
            <w:shd w:val="clear" w:color="auto" w:fill="9CC3E5" w:themeFill="accent1"/>
            <w:vAlign w:val="center"/>
          </w:tcPr>
          <w:p w:rsidR="008C3447" w:rsidRPr="008C3447" w:rsidRDefault="00E2252F" w:rsidP="008C005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  <w:tc>
          <w:tcPr>
            <w:tcW w:w="1510" w:type="dxa"/>
            <w:vAlign w:val="center"/>
          </w:tcPr>
          <w:p w:rsidR="008C3447" w:rsidRPr="008C0055" w:rsidRDefault="00E2252F" w:rsidP="008C00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224</w:t>
            </w:r>
          </w:p>
        </w:tc>
        <w:tc>
          <w:tcPr>
            <w:tcW w:w="1510" w:type="dxa"/>
            <w:vAlign w:val="center"/>
          </w:tcPr>
          <w:p w:rsidR="008C3447" w:rsidRPr="008C0055" w:rsidRDefault="00E2252F" w:rsidP="008C00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1510" w:type="dxa"/>
            <w:vAlign w:val="center"/>
          </w:tcPr>
          <w:p w:rsidR="008C3447" w:rsidRPr="008C0055" w:rsidRDefault="00E2252F" w:rsidP="008C00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11" w:type="dxa"/>
            <w:vAlign w:val="center"/>
          </w:tcPr>
          <w:p w:rsidR="008C3447" w:rsidRPr="008C0055" w:rsidRDefault="00E2252F" w:rsidP="008C00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158</w:t>
            </w:r>
          </w:p>
        </w:tc>
        <w:tc>
          <w:tcPr>
            <w:tcW w:w="1511" w:type="dxa"/>
            <w:vAlign w:val="center"/>
          </w:tcPr>
          <w:p w:rsidR="008C3447" w:rsidRPr="008C0055" w:rsidRDefault="00E2252F" w:rsidP="008C00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</w:tr>
      <w:tr w:rsidR="008C3447" w:rsidTr="008C0055">
        <w:trPr>
          <w:trHeight w:val="340"/>
        </w:trPr>
        <w:tc>
          <w:tcPr>
            <w:tcW w:w="1510" w:type="dxa"/>
            <w:shd w:val="clear" w:color="auto" w:fill="9CC3E5" w:themeFill="accent1"/>
            <w:vAlign w:val="center"/>
          </w:tcPr>
          <w:p w:rsidR="008C3447" w:rsidRPr="008C3447" w:rsidRDefault="00E2252F" w:rsidP="008C005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2023</w:t>
            </w:r>
          </w:p>
        </w:tc>
        <w:tc>
          <w:tcPr>
            <w:tcW w:w="1510" w:type="dxa"/>
            <w:vAlign w:val="center"/>
          </w:tcPr>
          <w:p w:rsidR="008C3447" w:rsidRPr="008C0055" w:rsidRDefault="00E2252F" w:rsidP="008C00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285</w:t>
            </w:r>
          </w:p>
        </w:tc>
        <w:tc>
          <w:tcPr>
            <w:tcW w:w="1510" w:type="dxa"/>
            <w:vAlign w:val="center"/>
          </w:tcPr>
          <w:p w:rsidR="008C3447" w:rsidRPr="008C0055" w:rsidRDefault="00E2252F" w:rsidP="008C00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1510" w:type="dxa"/>
            <w:vAlign w:val="center"/>
          </w:tcPr>
          <w:p w:rsidR="008C3447" w:rsidRPr="008C0055" w:rsidRDefault="00E2252F" w:rsidP="008C00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511" w:type="dxa"/>
            <w:vAlign w:val="center"/>
          </w:tcPr>
          <w:p w:rsidR="008C3447" w:rsidRPr="008C0055" w:rsidRDefault="00E2252F" w:rsidP="008C00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1511" w:type="dxa"/>
            <w:vAlign w:val="center"/>
          </w:tcPr>
          <w:p w:rsidR="008C3447" w:rsidRPr="008C0055" w:rsidRDefault="00E2252F" w:rsidP="008C00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</w:tr>
    </w:tbl>
    <w:p w:rsidR="0075567C" w:rsidRDefault="0075567C" w:rsidP="00876034">
      <w:pPr>
        <w:jc w:val="both"/>
        <w:rPr>
          <w:rFonts w:ascii="Arial" w:hAnsi="Arial" w:cs="Arial"/>
          <w:sz w:val="24"/>
          <w:szCs w:val="24"/>
        </w:rPr>
      </w:pPr>
    </w:p>
    <w:p w:rsidR="000563DB" w:rsidRDefault="00BD1B77" w:rsidP="008760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</w:t>
      </w:r>
      <w:r w:rsidR="00A973F8">
        <w:rPr>
          <w:rFonts w:ascii="Arial" w:hAnsi="Arial" w:cs="Arial"/>
          <w:sz w:val="24"/>
          <w:szCs w:val="24"/>
        </w:rPr>
        <w:t>kriminality mláde</w:t>
      </w:r>
      <w:r w:rsidR="00B71804">
        <w:rPr>
          <w:rFonts w:ascii="Arial" w:hAnsi="Arial" w:cs="Arial"/>
          <w:sz w:val="24"/>
          <w:szCs w:val="24"/>
        </w:rPr>
        <w:t>že</w:t>
      </w:r>
      <w:r>
        <w:rPr>
          <w:rFonts w:ascii="Arial" w:hAnsi="Arial" w:cs="Arial"/>
          <w:sz w:val="24"/>
          <w:szCs w:val="24"/>
        </w:rPr>
        <w:t xml:space="preserve"> </w:t>
      </w:r>
      <w:r w:rsidR="000563DB">
        <w:rPr>
          <w:rFonts w:ascii="Arial" w:hAnsi="Arial" w:cs="Arial"/>
          <w:sz w:val="24"/>
          <w:szCs w:val="24"/>
        </w:rPr>
        <w:t>bylo sedm pachatelů mladistvých a jeden pachatel dítě mladší patnácti let. Dva</w:t>
      </w:r>
      <w:r w:rsidR="0075567C">
        <w:rPr>
          <w:rFonts w:ascii="Arial" w:hAnsi="Arial" w:cs="Arial"/>
          <w:sz w:val="24"/>
          <w:szCs w:val="24"/>
        </w:rPr>
        <w:t xml:space="preserve"> trestné činy dětí byly spáchá</w:t>
      </w:r>
      <w:r w:rsidR="000563DB">
        <w:rPr>
          <w:rFonts w:ascii="Arial" w:hAnsi="Arial" w:cs="Arial"/>
          <w:sz w:val="24"/>
          <w:szCs w:val="24"/>
        </w:rPr>
        <w:t>ny pod vlivem alkoholu. Typově je zde zastoupen</w:t>
      </w:r>
      <w:r w:rsidR="00A9798F">
        <w:rPr>
          <w:rFonts w:ascii="Arial" w:hAnsi="Arial" w:cs="Arial"/>
          <w:sz w:val="24"/>
          <w:szCs w:val="24"/>
        </w:rPr>
        <w:t>a</w:t>
      </w:r>
      <w:r w:rsidR="000563DB">
        <w:rPr>
          <w:rFonts w:ascii="Arial" w:hAnsi="Arial" w:cs="Arial"/>
          <w:sz w:val="24"/>
          <w:szCs w:val="24"/>
        </w:rPr>
        <w:t xml:space="preserve"> prostá krádež, úmyslné ublížení na zdraví, pohlavní zneužívání, poškození cizí věci, výtržnictví</w:t>
      </w:r>
      <w:r w:rsidR="00A9798F">
        <w:rPr>
          <w:rFonts w:ascii="Arial" w:hAnsi="Arial" w:cs="Arial"/>
          <w:sz w:val="24"/>
          <w:szCs w:val="24"/>
        </w:rPr>
        <w:t xml:space="preserve">, </w:t>
      </w:r>
      <w:r w:rsidR="000563DB">
        <w:rPr>
          <w:rFonts w:ascii="Arial" w:hAnsi="Arial" w:cs="Arial"/>
          <w:sz w:val="24"/>
          <w:szCs w:val="24"/>
        </w:rPr>
        <w:t>vyhrožování a násilí na příslušníkovi obecní policie.</w:t>
      </w:r>
    </w:p>
    <w:p w:rsidR="00876034" w:rsidRDefault="00876034" w:rsidP="008760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Recidivisté se nejvíce podílejí na prostých krádežích, maření výkonu úředního rozhodnutí a ohrožení pod vlivem návykové látky. Nejčastější příčinou je sociální, ekonomická situace a </w:t>
      </w:r>
      <w:r w:rsidR="00A9798F">
        <w:rPr>
          <w:rFonts w:ascii="Arial" w:hAnsi="Arial" w:cs="Arial"/>
          <w:sz w:val="24"/>
          <w:szCs w:val="24"/>
        </w:rPr>
        <w:t xml:space="preserve">alkoholová </w:t>
      </w:r>
      <w:r>
        <w:rPr>
          <w:rFonts w:ascii="Arial" w:hAnsi="Arial" w:cs="Arial"/>
          <w:sz w:val="24"/>
          <w:szCs w:val="24"/>
        </w:rPr>
        <w:t>drogová závislost pachatelů.</w:t>
      </w:r>
    </w:p>
    <w:p w:rsidR="00AE2F35" w:rsidRDefault="00876034" w:rsidP="008760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Cizinci jsou </w:t>
      </w:r>
      <w:r w:rsidR="00A9798F">
        <w:rPr>
          <w:rFonts w:ascii="Arial" w:hAnsi="Arial" w:cs="Arial"/>
          <w:sz w:val="24"/>
          <w:szCs w:val="24"/>
        </w:rPr>
        <w:t>opět nejčastěji</w:t>
      </w:r>
      <w:r>
        <w:rPr>
          <w:rFonts w:ascii="Arial" w:hAnsi="Arial" w:cs="Arial"/>
          <w:sz w:val="24"/>
          <w:szCs w:val="24"/>
        </w:rPr>
        <w:t xml:space="preserve"> stíháni za t</w:t>
      </w:r>
      <w:r w:rsidR="00A9798F">
        <w:rPr>
          <w:rFonts w:ascii="Arial" w:hAnsi="Arial" w:cs="Arial"/>
          <w:sz w:val="24"/>
          <w:szCs w:val="24"/>
        </w:rPr>
        <w:t xml:space="preserve">restné činy související s dopravou – maření výkonu úředního rozhodnutí, ohrožení pod vlivem návykové látky, dále různé druhy podvodů, prosté krádeže a nechybí ani nedovolené překročení státní hranice. </w:t>
      </w:r>
    </w:p>
    <w:p w:rsidR="00AE2F35" w:rsidRDefault="00AE2F35" w:rsidP="00876034">
      <w:pPr>
        <w:jc w:val="both"/>
        <w:rPr>
          <w:rFonts w:ascii="Arial" w:hAnsi="Arial" w:cs="Arial"/>
          <w:sz w:val="24"/>
          <w:szCs w:val="24"/>
        </w:rPr>
      </w:pPr>
    </w:p>
    <w:p w:rsidR="00AE2F35" w:rsidRPr="00AE2F35" w:rsidRDefault="00AE2F35" w:rsidP="00AE2F35">
      <w:pPr>
        <w:pStyle w:val="Nadpis1"/>
        <w:rPr>
          <w:rFonts w:ascii="Arial" w:hAnsi="Arial" w:cs="Arial"/>
          <w:b/>
          <w:color w:val="auto"/>
          <w:sz w:val="28"/>
          <w:szCs w:val="28"/>
        </w:rPr>
      </w:pPr>
      <w:r w:rsidRPr="00AE2F35">
        <w:rPr>
          <w:rFonts w:ascii="Arial" w:hAnsi="Arial" w:cs="Arial"/>
          <w:b/>
          <w:color w:val="auto"/>
          <w:sz w:val="28"/>
          <w:szCs w:val="28"/>
        </w:rPr>
        <w:t>3. Přestupky</w:t>
      </w:r>
    </w:p>
    <w:p w:rsidR="004058A9" w:rsidRDefault="004058A9" w:rsidP="00876034">
      <w:pPr>
        <w:jc w:val="both"/>
        <w:rPr>
          <w:rFonts w:ascii="Arial" w:hAnsi="Arial" w:cs="Arial"/>
          <w:sz w:val="24"/>
          <w:szCs w:val="24"/>
        </w:rPr>
      </w:pPr>
    </w:p>
    <w:p w:rsidR="00AE2F35" w:rsidRDefault="003D4324" w:rsidP="008760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roce 2022</w:t>
      </w:r>
      <w:r w:rsidR="006077EC">
        <w:rPr>
          <w:rFonts w:ascii="Arial" w:hAnsi="Arial" w:cs="Arial"/>
          <w:sz w:val="24"/>
          <w:szCs w:val="24"/>
        </w:rPr>
        <w:t xml:space="preserve"> bylo na OO</w:t>
      </w:r>
      <w:r>
        <w:rPr>
          <w:rFonts w:ascii="Arial" w:hAnsi="Arial" w:cs="Arial"/>
          <w:sz w:val="24"/>
          <w:szCs w:val="24"/>
        </w:rPr>
        <w:t>P Svitavy evidováno celkem 1</w:t>
      </w:r>
      <w:r w:rsidR="00853CE4">
        <w:rPr>
          <w:rFonts w:ascii="Arial" w:hAnsi="Arial" w:cs="Arial"/>
          <w:sz w:val="24"/>
          <w:szCs w:val="24"/>
        </w:rPr>
        <w:t>190</w:t>
      </w:r>
      <w:r>
        <w:rPr>
          <w:rFonts w:ascii="Arial" w:hAnsi="Arial" w:cs="Arial"/>
          <w:sz w:val="24"/>
          <w:szCs w:val="24"/>
        </w:rPr>
        <w:t xml:space="preserve"> </w:t>
      </w:r>
      <w:r w:rsidR="006077EC">
        <w:rPr>
          <w:rFonts w:ascii="Arial" w:hAnsi="Arial" w:cs="Arial"/>
          <w:sz w:val="24"/>
          <w:szCs w:val="24"/>
        </w:rPr>
        <w:t>př</w:t>
      </w:r>
      <w:r>
        <w:rPr>
          <w:rFonts w:ascii="Arial" w:hAnsi="Arial" w:cs="Arial"/>
          <w:sz w:val="24"/>
          <w:szCs w:val="24"/>
        </w:rPr>
        <w:t>estupků, v roce 2023 celkem</w:t>
      </w:r>
      <w:r w:rsidR="00853CE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1240</w:t>
      </w:r>
      <w:r w:rsidR="006077EC">
        <w:rPr>
          <w:rFonts w:ascii="Arial" w:hAnsi="Arial" w:cs="Arial"/>
          <w:sz w:val="24"/>
          <w:szCs w:val="24"/>
        </w:rPr>
        <w:t xml:space="preserve"> přestup</w:t>
      </w:r>
      <w:r w:rsidR="000B5AE3">
        <w:rPr>
          <w:rFonts w:ascii="Arial" w:hAnsi="Arial" w:cs="Arial"/>
          <w:sz w:val="24"/>
          <w:szCs w:val="24"/>
        </w:rPr>
        <w:t>k</w:t>
      </w:r>
      <w:r w:rsidR="006077EC">
        <w:rPr>
          <w:rFonts w:ascii="Arial" w:hAnsi="Arial" w:cs="Arial"/>
          <w:sz w:val="24"/>
          <w:szCs w:val="24"/>
        </w:rPr>
        <w:t xml:space="preserve">ů. </w:t>
      </w:r>
      <w:r w:rsidR="00103FC9">
        <w:rPr>
          <w:rFonts w:ascii="Arial" w:hAnsi="Arial" w:cs="Arial"/>
          <w:sz w:val="24"/>
          <w:szCs w:val="24"/>
        </w:rPr>
        <w:t>Vzhledem k neexistenci centrálně zpracovávané oficiální sta</w:t>
      </w:r>
      <w:r w:rsidR="006077EC">
        <w:rPr>
          <w:rFonts w:ascii="Arial" w:hAnsi="Arial" w:cs="Arial"/>
          <w:sz w:val="24"/>
          <w:szCs w:val="24"/>
        </w:rPr>
        <w:t>tistiky přestupků uvádím pouze</w:t>
      </w:r>
      <w:r w:rsidR="00103FC9">
        <w:rPr>
          <w:rFonts w:ascii="Arial" w:hAnsi="Arial" w:cs="Arial"/>
          <w:sz w:val="24"/>
          <w:szCs w:val="24"/>
        </w:rPr>
        <w:t xml:space="preserve"> porovnání nejčastěji se vysk</w:t>
      </w:r>
      <w:r w:rsidR="00F739D2">
        <w:rPr>
          <w:rFonts w:ascii="Arial" w:hAnsi="Arial" w:cs="Arial"/>
          <w:sz w:val="24"/>
          <w:szCs w:val="24"/>
        </w:rPr>
        <w:t>ytujících přestupkových jednání podle interního sy</w:t>
      </w:r>
      <w:r w:rsidR="00871784">
        <w:rPr>
          <w:rFonts w:ascii="Arial" w:hAnsi="Arial" w:cs="Arial"/>
          <w:sz w:val="24"/>
          <w:szCs w:val="24"/>
        </w:rPr>
        <w:t xml:space="preserve">stému Evidence trestního řízení a pouze registrované na OOP Svitavy.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06"/>
        <w:gridCol w:w="1935"/>
        <w:gridCol w:w="1817"/>
        <w:gridCol w:w="1471"/>
        <w:gridCol w:w="1684"/>
        <w:gridCol w:w="1349"/>
      </w:tblGrid>
      <w:tr w:rsidR="00F739D2" w:rsidRPr="008C3447" w:rsidTr="00103FC9">
        <w:trPr>
          <w:trHeight w:val="340"/>
        </w:trPr>
        <w:tc>
          <w:tcPr>
            <w:tcW w:w="846" w:type="dxa"/>
            <w:vAlign w:val="center"/>
          </w:tcPr>
          <w:p w:rsidR="00103FC9" w:rsidRDefault="00103FC9" w:rsidP="0075567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74" w:type="dxa"/>
            <w:shd w:val="clear" w:color="auto" w:fill="9CC3E5" w:themeFill="accent1"/>
            <w:vAlign w:val="center"/>
          </w:tcPr>
          <w:p w:rsidR="00103FC9" w:rsidRPr="008C3447" w:rsidRDefault="00103FC9" w:rsidP="0075567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na úseku </w:t>
            </w:r>
            <w:r w:rsidR="00F739D2">
              <w:rPr>
                <w:rFonts w:ascii="Arial" w:hAnsi="Arial" w:cs="Arial"/>
                <w:b/>
                <w:sz w:val="24"/>
                <w:szCs w:val="24"/>
              </w:rPr>
              <w:t>bezpečnosti silničního provozu</w:t>
            </w:r>
          </w:p>
        </w:tc>
        <w:tc>
          <w:tcPr>
            <w:tcW w:w="1510" w:type="dxa"/>
            <w:shd w:val="clear" w:color="auto" w:fill="9CC3E5" w:themeFill="accent1"/>
            <w:vAlign w:val="center"/>
          </w:tcPr>
          <w:p w:rsidR="00103FC9" w:rsidRPr="008C3447" w:rsidRDefault="00103FC9" w:rsidP="0075567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 úseku ochrany před alkoholismem a toxikomanií</w:t>
            </w:r>
          </w:p>
        </w:tc>
        <w:tc>
          <w:tcPr>
            <w:tcW w:w="1510" w:type="dxa"/>
            <w:shd w:val="clear" w:color="auto" w:fill="9CC3E5" w:themeFill="accent1"/>
            <w:vAlign w:val="center"/>
          </w:tcPr>
          <w:p w:rsidR="00103FC9" w:rsidRPr="008C3447" w:rsidRDefault="00103FC9" w:rsidP="0075567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proti veřejnému pořádku</w:t>
            </w:r>
          </w:p>
        </w:tc>
        <w:tc>
          <w:tcPr>
            <w:tcW w:w="1511" w:type="dxa"/>
            <w:shd w:val="clear" w:color="auto" w:fill="9CC3E5" w:themeFill="accent1"/>
            <w:vAlign w:val="center"/>
          </w:tcPr>
          <w:p w:rsidR="00103FC9" w:rsidRPr="008C3447" w:rsidRDefault="00103FC9" w:rsidP="0075567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proti občanskému soužití</w:t>
            </w:r>
          </w:p>
        </w:tc>
        <w:tc>
          <w:tcPr>
            <w:tcW w:w="1511" w:type="dxa"/>
            <w:shd w:val="clear" w:color="auto" w:fill="9CC3E5" w:themeFill="accent1"/>
            <w:vAlign w:val="center"/>
          </w:tcPr>
          <w:p w:rsidR="00103FC9" w:rsidRPr="008C3447" w:rsidRDefault="00103FC9" w:rsidP="0075567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proti majetku</w:t>
            </w:r>
          </w:p>
        </w:tc>
      </w:tr>
      <w:tr w:rsidR="00F739D2" w:rsidRPr="008C0055" w:rsidTr="00103FC9">
        <w:trPr>
          <w:trHeight w:val="340"/>
        </w:trPr>
        <w:tc>
          <w:tcPr>
            <w:tcW w:w="846" w:type="dxa"/>
            <w:shd w:val="clear" w:color="auto" w:fill="9CC3E5" w:themeFill="accent1"/>
            <w:vAlign w:val="center"/>
          </w:tcPr>
          <w:p w:rsidR="00103FC9" w:rsidRPr="008C3447" w:rsidRDefault="00A9798F" w:rsidP="0075567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  <w:tc>
          <w:tcPr>
            <w:tcW w:w="2174" w:type="dxa"/>
            <w:vAlign w:val="center"/>
          </w:tcPr>
          <w:p w:rsidR="00103FC9" w:rsidRPr="008C0055" w:rsidRDefault="00A9798F" w:rsidP="007556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724</w:t>
            </w:r>
          </w:p>
        </w:tc>
        <w:tc>
          <w:tcPr>
            <w:tcW w:w="1510" w:type="dxa"/>
            <w:vAlign w:val="center"/>
          </w:tcPr>
          <w:p w:rsidR="00103FC9" w:rsidRPr="008C0055" w:rsidRDefault="00A9798F" w:rsidP="007556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510" w:type="dxa"/>
            <w:vAlign w:val="center"/>
          </w:tcPr>
          <w:p w:rsidR="00103FC9" w:rsidRPr="008C0055" w:rsidRDefault="00A9798F" w:rsidP="007556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511" w:type="dxa"/>
            <w:vAlign w:val="center"/>
          </w:tcPr>
          <w:p w:rsidR="00103FC9" w:rsidRPr="008C0055" w:rsidRDefault="00A9798F" w:rsidP="007556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161</w:t>
            </w:r>
          </w:p>
        </w:tc>
        <w:tc>
          <w:tcPr>
            <w:tcW w:w="1511" w:type="dxa"/>
            <w:vAlign w:val="center"/>
          </w:tcPr>
          <w:p w:rsidR="00103FC9" w:rsidRPr="008C0055" w:rsidRDefault="00A9798F" w:rsidP="007556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303</w:t>
            </w:r>
          </w:p>
        </w:tc>
      </w:tr>
      <w:tr w:rsidR="00F739D2" w:rsidRPr="008C0055" w:rsidTr="00103FC9">
        <w:trPr>
          <w:trHeight w:val="340"/>
        </w:trPr>
        <w:tc>
          <w:tcPr>
            <w:tcW w:w="846" w:type="dxa"/>
            <w:shd w:val="clear" w:color="auto" w:fill="9CC3E5" w:themeFill="accent1"/>
            <w:vAlign w:val="center"/>
          </w:tcPr>
          <w:p w:rsidR="00103FC9" w:rsidRPr="008C3447" w:rsidRDefault="00A9798F" w:rsidP="0075567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2023</w:t>
            </w:r>
          </w:p>
        </w:tc>
        <w:tc>
          <w:tcPr>
            <w:tcW w:w="2174" w:type="dxa"/>
            <w:vAlign w:val="center"/>
          </w:tcPr>
          <w:p w:rsidR="00103FC9" w:rsidRPr="008C0055" w:rsidRDefault="00E8605C" w:rsidP="007556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710</w:t>
            </w:r>
          </w:p>
        </w:tc>
        <w:tc>
          <w:tcPr>
            <w:tcW w:w="1510" w:type="dxa"/>
            <w:vAlign w:val="center"/>
          </w:tcPr>
          <w:p w:rsidR="00103FC9" w:rsidRPr="008C0055" w:rsidRDefault="00E8605C" w:rsidP="007556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1510" w:type="dxa"/>
            <w:vAlign w:val="center"/>
          </w:tcPr>
          <w:p w:rsidR="00103FC9" w:rsidRPr="008C0055" w:rsidRDefault="007A3A7D" w:rsidP="007556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511" w:type="dxa"/>
            <w:vAlign w:val="center"/>
          </w:tcPr>
          <w:p w:rsidR="00103FC9" w:rsidRPr="008C0055" w:rsidRDefault="00E8605C" w:rsidP="007556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1511" w:type="dxa"/>
            <w:vAlign w:val="center"/>
          </w:tcPr>
          <w:p w:rsidR="00103FC9" w:rsidRPr="008C0055" w:rsidRDefault="00E8605C" w:rsidP="007556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294</w:t>
            </w:r>
          </w:p>
        </w:tc>
      </w:tr>
    </w:tbl>
    <w:p w:rsidR="008757E2" w:rsidRDefault="000B5AE3" w:rsidP="008760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K přestup</w:t>
      </w:r>
      <w:r w:rsidR="00B87272">
        <w:rPr>
          <w:rFonts w:ascii="Arial" w:hAnsi="Arial" w:cs="Arial"/>
          <w:sz w:val="24"/>
          <w:szCs w:val="24"/>
        </w:rPr>
        <w:t>kovému řízení je nutno doplnit, že je evidováno a šetřeno samostatně také Oddělením hlídkové služby a Dopravním inspektorátem Svitavy. U přestupků na úseku ochrany před alkoholismem je pak celkový počet 65 přestupků, na úseku bezpečnosti silničního provozu dokonce 2887 přestupků</w:t>
      </w:r>
      <w:r w:rsidR="00104170">
        <w:rPr>
          <w:rFonts w:ascii="Arial" w:hAnsi="Arial" w:cs="Arial"/>
          <w:sz w:val="24"/>
          <w:szCs w:val="24"/>
        </w:rPr>
        <w:t xml:space="preserve"> na území v působnosti OOP Svitavy</w:t>
      </w:r>
      <w:r w:rsidR="00B87272">
        <w:rPr>
          <w:rFonts w:ascii="Arial" w:hAnsi="Arial" w:cs="Arial"/>
          <w:sz w:val="24"/>
          <w:szCs w:val="24"/>
        </w:rPr>
        <w:t>. N</w:t>
      </w:r>
      <w:r w:rsidR="00104170">
        <w:rPr>
          <w:rFonts w:ascii="Arial" w:hAnsi="Arial" w:cs="Arial"/>
          <w:sz w:val="24"/>
          <w:szCs w:val="24"/>
        </w:rPr>
        <w:t xml:space="preserve">a OOP Svitavy bylo v roce 2023 vyřešeno </w:t>
      </w:r>
      <w:r w:rsidR="00072FB5">
        <w:rPr>
          <w:rFonts w:ascii="Arial" w:hAnsi="Arial" w:cs="Arial"/>
          <w:sz w:val="24"/>
          <w:szCs w:val="24"/>
        </w:rPr>
        <w:t>897</w:t>
      </w:r>
      <w:r>
        <w:rPr>
          <w:rFonts w:ascii="Arial" w:hAnsi="Arial" w:cs="Arial"/>
          <w:sz w:val="24"/>
          <w:szCs w:val="24"/>
        </w:rPr>
        <w:t xml:space="preserve"> přestupků uložením pokuty příkaze</w:t>
      </w:r>
      <w:r w:rsidR="00072FB5">
        <w:rPr>
          <w:rFonts w:ascii="Arial" w:hAnsi="Arial" w:cs="Arial"/>
          <w:sz w:val="24"/>
          <w:szCs w:val="24"/>
        </w:rPr>
        <w:t>m na místě v celkové výši 322500 Kč, Oddělením hlídkové služby Svitavy 1178 přestupků v celkové výši 483100 Kč, Dopravním inspektorátem Svitavy 2712 přestupků v celkové výši 1245000 Kč. Poslední dva zmíněné útvary však mají působnost v rámci celého okresu Svitavy a nelze ze statistik efektivně vytřídit jen ty, které spadají v tomto ohledu na území v působnosti OOP Svitavy.</w:t>
      </w:r>
    </w:p>
    <w:p w:rsidR="00FA7061" w:rsidRDefault="00072FB5" w:rsidP="008760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Dět</w:t>
      </w:r>
      <w:r w:rsidR="00BF73A2">
        <w:rPr>
          <w:rFonts w:ascii="Arial" w:hAnsi="Arial" w:cs="Arial"/>
          <w:sz w:val="24"/>
          <w:szCs w:val="24"/>
        </w:rPr>
        <w:t>mi do 18 let věku bylo spácháno</w:t>
      </w:r>
      <w:r>
        <w:rPr>
          <w:rFonts w:ascii="Arial" w:hAnsi="Arial" w:cs="Arial"/>
          <w:sz w:val="24"/>
          <w:szCs w:val="24"/>
        </w:rPr>
        <w:t xml:space="preserve"> pouze 26 přestupků v územní působnosti OOP Svitav</w:t>
      </w:r>
      <w:r w:rsidR="00C96E5F">
        <w:rPr>
          <w:rFonts w:ascii="Arial" w:hAnsi="Arial" w:cs="Arial"/>
          <w:sz w:val="24"/>
          <w:szCs w:val="24"/>
        </w:rPr>
        <w:t>y, z toho 5 přestupků Dopravním inspektorátem Svitavy.</w:t>
      </w:r>
    </w:p>
    <w:p w:rsidR="00C96E5F" w:rsidRDefault="00C96E5F" w:rsidP="00876034">
      <w:pPr>
        <w:jc w:val="both"/>
        <w:rPr>
          <w:rFonts w:ascii="Arial" w:hAnsi="Arial" w:cs="Arial"/>
          <w:sz w:val="24"/>
          <w:szCs w:val="24"/>
        </w:rPr>
      </w:pPr>
    </w:p>
    <w:p w:rsidR="001F42C8" w:rsidRDefault="00AE2F35" w:rsidP="00AE2F35">
      <w:pPr>
        <w:pStyle w:val="Nadpis1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color w:val="auto"/>
          <w:sz w:val="28"/>
          <w:szCs w:val="28"/>
        </w:rPr>
        <w:t>4</w:t>
      </w:r>
      <w:r w:rsidRPr="00AE2F35">
        <w:rPr>
          <w:rFonts w:ascii="Arial" w:hAnsi="Arial" w:cs="Arial"/>
          <w:b/>
          <w:color w:val="auto"/>
          <w:sz w:val="28"/>
          <w:szCs w:val="28"/>
        </w:rPr>
        <w:t>. Zpráva k dopravní nehodovosti</w:t>
      </w:r>
    </w:p>
    <w:p w:rsidR="004058A9" w:rsidRDefault="004058A9" w:rsidP="000663DE">
      <w:pPr>
        <w:jc w:val="both"/>
        <w:rPr>
          <w:rFonts w:ascii="Arial" w:hAnsi="Arial" w:cs="Arial"/>
          <w:sz w:val="24"/>
          <w:szCs w:val="24"/>
        </w:rPr>
      </w:pPr>
    </w:p>
    <w:p w:rsidR="00385C45" w:rsidRDefault="000663DE" w:rsidP="000663D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roce 202</w:t>
      </w:r>
      <w:r w:rsidR="00E40F3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bylo na území města Svitavy řešeno </w:t>
      </w:r>
      <w:r w:rsidR="00E40F36">
        <w:rPr>
          <w:rFonts w:ascii="Arial" w:hAnsi="Arial" w:cs="Arial"/>
          <w:sz w:val="24"/>
          <w:szCs w:val="24"/>
        </w:rPr>
        <w:t>160</w:t>
      </w:r>
      <w:r>
        <w:rPr>
          <w:rFonts w:ascii="Arial" w:hAnsi="Arial" w:cs="Arial"/>
          <w:sz w:val="24"/>
          <w:szCs w:val="24"/>
        </w:rPr>
        <w:t xml:space="preserve"> dopravních nehod podléhajících oznamovací povinnosti</w:t>
      </w:r>
      <w:r w:rsidR="00E40F36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Nejrizikovějším typem pozemní komunikace z pohledu nehodovosti byly opět místní komunikace</w:t>
      </w:r>
      <w:r w:rsidR="00E40F3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Řidičem motorového vozidla bylo zaviněno </w:t>
      </w:r>
      <w:r w:rsidR="00E40F36">
        <w:rPr>
          <w:rFonts w:ascii="Arial" w:hAnsi="Arial" w:cs="Arial"/>
          <w:sz w:val="24"/>
          <w:szCs w:val="24"/>
        </w:rPr>
        <w:t>149 dopravních nehod, cyklisty</w:t>
      </w:r>
      <w:r>
        <w:rPr>
          <w:rFonts w:ascii="Arial" w:hAnsi="Arial" w:cs="Arial"/>
          <w:sz w:val="24"/>
          <w:szCs w:val="24"/>
        </w:rPr>
        <w:t xml:space="preserve"> </w:t>
      </w:r>
      <w:r w:rsidR="00E40F36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a chodc</w:t>
      </w:r>
      <w:r w:rsidR="00E40F36">
        <w:rPr>
          <w:rFonts w:ascii="Arial" w:hAnsi="Arial" w:cs="Arial"/>
          <w:sz w:val="24"/>
          <w:szCs w:val="24"/>
        </w:rPr>
        <w:t>i 3</w:t>
      </w:r>
      <w:r>
        <w:rPr>
          <w:rFonts w:ascii="Arial" w:hAnsi="Arial" w:cs="Arial"/>
          <w:sz w:val="24"/>
          <w:szCs w:val="24"/>
        </w:rPr>
        <w:t xml:space="preserve"> dopravní nehody. </w:t>
      </w:r>
    </w:p>
    <w:p w:rsidR="0076067F" w:rsidRPr="0076067F" w:rsidRDefault="0076067F" w:rsidP="000663DE">
      <w:pPr>
        <w:jc w:val="both"/>
        <w:rPr>
          <w:rFonts w:ascii="Arial" w:hAnsi="Arial" w:cs="Arial"/>
          <w:b/>
          <w:sz w:val="28"/>
          <w:szCs w:val="28"/>
        </w:rPr>
      </w:pPr>
      <w:r w:rsidRPr="0076067F">
        <w:rPr>
          <w:rFonts w:ascii="Arial" w:hAnsi="Arial" w:cs="Arial"/>
          <w:b/>
          <w:sz w:val="28"/>
          <w:szCs w:val="28"/>
        </w:rPr>
        <w:t>Příčiny dopravní nehodovosti</w:t>
      </w:r>
    </w:p>
    <w:tbl>
      <w:tblPr>
        <w:tblStyle w:val="Mkatabulky"/>
        <w:tblW w:w="9136" w:type="dxa"/>
        <w:tblLook w:val="04A0" w:firstRow="1" w:lastRow="0" w:firstColumn="1" w:lastColumn="0" w:noHBand="0" w:noVBand="1"/>
      </w:tblPr>
      <w:tblGrid>
        <w:gridCol w:w="1827"/>
        <w:gridCol w:w="1827"/>
        <w:gridCol w:w="1827"/>
        <w:gridCol w:w="1827"/>
        <w:gridCol w:w="1828"/>
      </w:tblGrid>
      <w:tr w:rsidR="0076067F" w:rsidRPr="0076067F" w:rsidTr="0076067F">
        <w:trPr>
          <w:trHeight w:val="257"/>
        </w:trPr>
        <w:tc>
          <w:tcPr>
            <w:tcW w:w="1827" w:type="dxa"/>
            <w:shd w:val="clear" w:color="auto" w:fill="9CC3E5" w:themeFill="accent1"/>
            <w:vAlign w:val="center"/>
          </w:tcPr>
          <w:p w:rsidR="0076067F" w:rsidRPr="0076067F" w:rsidRDefault="0076067F" w:rsidP="007606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067F">
              <w:rPr>
                <w:rFonts w:ascii="Arial" w:hAnsi="Arial" w:cs="Arial"/>
                <w:sz w:val="24"/>
                <w:szCs w:val="24"/>
              </w:rPr>
              <w:t>Způsob jízdy</w:t>
            </w:r>
          </w:p>
        </w:tc>
        <w:tc>
          <w:tcPr>
            <w:tcW w:w="1827" w:type="dxa"/>
            <w:shd w:val="clear" w:color="auto" w:fill="9CC3E5" w:themeFill="accent1"/>
            <w:vAlign w:val="center"/>
          </w:tcPr>
          <w:p w:rsidR="0076067F" w:rsidRPr="0076067F" w:rsidRDefault="0076067F" w:rsidP="007606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Přednost</w:t>
            </w:r>
          </w:p>
        </w:tc>
        <w:tc>
          <w:tcPr>
            <w:tcW w:w="1827" w:type="dxa"/>
            <w:shd w:val="clear" w:color="auto" w:fill="9CC3E5" w:themeFill="accent1"/>
            <w:vAlign w:val="center"/>
          </w:tcPr>
          <w:p w:rsidR="0076067F" w:rsidRPr="0076067F" w:rsidRDefault="0076067F" w:rsidP="007606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Rychlost</w:t>
            </w:r>
          </w:p>
        </w:tc>
        <w:tc>
          <w:tcPr>
            <w:tcW w:w="1827" w:type="dxa"/>
            <w:shd w:val="clear" w:color="auto" w:fill="9CC3E5" w:themeFill="accent1"/>
            <w:vAlign w:val="center"/>
          </w:tcPr>
          <w:p w:rsidR="0076067F" w:rsidRPr="0076067F" w:rsidRDefault="0076067F" w:rsidP="007606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Předjíždění</w:t>
            </w:r>
          </w:p>
        </w:tc>
        <w:tc>
          <w:tcPr>
            <w:tcW w:w="1828" w:type="dxa"/>
            <w:shd w:val="clear" w:color="auto" w:fill="9CC3E5" w:themeFill="accent1"/>
            <w:vAlign w:val="center"/>
          </w:tcPr>
          <w:p w:rsidR="0076067F" w:rsidRPr="0076067F" w:rsidRDefault="0076067F" w:rsidP="007606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Nezaviněné</w:t>
            </w:r>
          </w:p>
        </w:tc>
      </w:tr>
      <w:tr w:rsidR="0076067F" w:rsidRPr="0076067F" w:rsidTr="0076067F">
        <w:trPr>
          <w:trHeight w:val="257"/>
        </w:trPr>
        <w:tc>
          <w:tcPr>
            <w:tcW w:w="1827" w:type="dxa"/>
            <w:vAlign w:val="center"/>
          </w:tcPr>
          <w:p w:rsidR="0076067F" w:rsidRPr="0076067F" w:rsidRDefault="00E40F36" w:rsidP="007606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</w:t>
            </w:r>
          </w:p>
        </w:tc>
        <w:tc>
          <w:tcPr>
            <w:tcW w:w="1827" w:type="dxa"/>
            <w:vAlign w:val="center"/>
          </w:tcPr>
          <w:p w:rsidR="0076067F" w:rsidRPr="0076067F" w:rsidRDefault="00E40F36" w:rsidP="007606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1827" w:type="dxa"/>
            <w:vAlign w:val="center"/>
          </w:tcPr>
          <w:p w:rsidR="0076067F" w:rsidRPr="0076067F" w:rsidRDefault="00E40F36" w:rsidP="007606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827" w:type="dxa"/>
            <w:vAlign w:val="center"/>
          </w:tcPr>
          <w:p w:rsidR="0076067F" w:rsidRPr="0076067F" w:rsidRDefault="00E40F36" w:rsidP="007606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28" w:type="dxa"/>
            <w:vAlign w:val="center"/>
          </w:tcPr>
          <w:p w:rsidR="0076067F" w:rsidRPr="0076067F" w:rsidRDefault="00E40F36" w:rsidP="007606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AE2F35" w:rsidRPr="00102A8E" w:rsidRDefault="00FA7061" w:rsidP="001F2E8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počtu dopravních nehod se v roce 2023 nejvíce podílel nesprávný způsob jízdy, čili nevěnování se plně řízení vozidla, nesprávné otáčení nebo couvání, vyhýbání se bez dostatečného bočního odstupu, nepřiměřená rychlost.</w:t>
      </w:r>
    </w:p>
    <w:p w:rsidR="00962F32" w:rsidRPr="00FA7061" w:rsidRDefault="00385C45" w:rsidP="00385C45">
      <w:pPr>
        <w:jc w:val="both"/>
        <w:rPr>
          <w:rFonts w:ascii="Arial" w:hAnsi="Arial" w:cs="Arial"/>
          <w:b/>
          <w:sz w:val="24"/>
          <w:szCs w:val="24"/>
        </w:rPr>
      </w:pPr>
      <w:r w:rsidRPr="00385C45">
        <w:rPr>
          <w:rFonts w:ascii="Arial" w:hAnsi="Arial" w:cs="Arial"/>
          <w:b/>
          <w:sz w:val="24"/>
          <w:szCs w:val="24"/>
        </w:rPr>
        <w:t>V</w:t>
      </w:r>
      <w:r w:rsidR="008269D0">
        <w:rPr>
          <w:rFonts w:ascii="Arial" w:hAnsi="Arial" w:cs="Arial"/>
          <w:b/>
          <w:sz w:val="24"/>
          <w:szCs w:val="24"/>
        </w:rPr>
        <w:t> roce 202</w:t>
      </w:r>
      <w:r w:rsidR="00FA7061">
        <w:rPr>
          <w:rFonts w:ascii="Arial" w:hAnsi="Arial" w:cs="Arial"/>
          <w:b/>
          <w:sz w:val="24"/>
          <w:szCs w:val="24"/>
        </w:rPr>
        <w:t>3</w:t>
      </w:r>
      <w:r w:rsidR="008269D0">
        <w:rPr>
          <w:rFonts w:ascii="Arial" w:hAnsi="Arial" w:cs="Arial"/>
          <w:b/>
          <w:sz w:val="24"/>
          <w:szCs w:val="24"/>
        </w:rPr>
        <w:t xml:space="preserve"> bylo v České republice v důsledku dopravních nehod usmrceno </w:t>
      </w:r>
      <w:r w:rsidR="00FA7061">
        <w:rPr>
          <w:rFonts w:ascii="Arial" w:hAnsi="Arial" w:cs="Arial"/>
          <w:b/>
          <w:sz w:val="24"/>
          <w:szCs w:val="24"/>
        </w:rPr>
        <w:t>455</w:t>
      </w:r>
      <w:r w:rsidR="008269D0">
        <w:rPr>
          <w:rFonts w:ascii="Arial" w:hAnsi="Arial" w:cs="Arial"/>
          <w:b/>
          <w:sz w:val="24"/>
          <w:szCs w:val="24"/>
        </w:rPr>
        <w:t xml:space="preserve"> osob, ve městě Svitavy nemusela být řešena</w:t>
      </w:r>
      <w:r w:rsidR="00E40F36">
        <w:rPr>
          <w:rFonts w:ascii="Arial" w:hAnsi="Arial" w:cs="Arial"/>
          <w:b/>
          <w:sz w:val="24"/>
          <w:szCs w:val="24"/>
        </w:rPr>
        <w:t xml:space="preserve"> žádná smrtelná dopravní nehoda, v katastru Moravského Lačnova došlo k 1 smrtelné nehodě</w:t>
      </w:r>
      <w:r w:rsidR="00FA7061">
        <w:rPr>
          <w:rFonts w:ascii="Arial" w:hAnsi="Arial" w:cs="Arial"/>
          <w:b/>
          <w:sz w:val="24"/>
          <w:szCs w:val="24"/>
        </w:rPr>
        <w:t>.</w:t>
      </w:r>
    </w:p>
    <w:p w:rsidR="00FA7061" w:rsidRDefault="00FA7061" w:rsidP="001F2E8F">
      <w:pPr>
        <w:rPr>
          <w:rFonts w:ascii="Arial" w:hAnsi="Arial" w:cs="Arial"/>
          <w:b/>
          <w:sz w:val="28"/>
          <w:szCs w:val="28"/>
        </w:rPr>
      </w:pPr>
    </w:p>
    <w:p w:rsidR="00D87E06" w:rsidRPr="00FE4CD4" w:rsidRDefault="00AE2F35" w:rsidP="00FE4CD4">
      <w:pPr>
        <w:pStyle w:val="Nadpis1"/>
        <w:rPr>
          <w:rFonts w:ascii="Arial" w:hAnsi="Arial" w:cs="Arial"/>
          <w:b/>
          <w:color w:val="auto"/>
          <w:sz w:val="28"/>
          <w:szCs w:val="28"/>
          <w:u w:val="single"/>
        </w:rPr>
      </w:pPr>
      <w:r>
        <w:rPr>
          <w:rFonts w:ascii="Arial" w:hAnsi="Arial" w:cs="Arial"/>
          <w:b/>
          <w:color w:val="auto"/>
          <w:sz w:val="28"/>
          <w:szCs w:val="28"/>
        </w:rPr>
        <w:t>5</w:t>
      </w:r>
      <w:r w:rsidR="00FE4CD4">
        <w:rPr>
          <w:rFonts w:ascii="Arial" w:hAnsi="Arial" w:cs="Arial"/>
          <w:b/>
          <w:color w:val="auto"/>
          <w:sz w:val="28"/>
          <w:szCs w:val="28"/>
        </w:rPr>
        <w:t xml:space="preserve">. </w:t>
      </w:r>
      <w:r w:rsidR="00FE4CD4" w:rsidRPr="00FE4CD4">
        <w:rPr>
          <w:rFonts w:ascii="Arial" w:hAnsi="Arial" w:cs="Arial"/>
          <w:b/>
          <w:color w:val="auto"/>
          <w:sz w:val="28"/>
          <w:szCs w:val="28"/>
        </w:rPr>
        <w:t xml:space="preserve">Informace k pobytu cizincŮ </w:t>
      </w:r>
    </w:p>
    <w:p w:rsidR="004058A9" w:rsidRDefault="004058A9" w:rsidP="00FE4CD4">
      <w:pPr>
        <w:jc w:val="both"/>
        <w:rPr>
          <w:rFonts w:ascii="Arial" w:hAnsi="Arial" w:cs="Arial"/>
          <w:sz w:val="24"/>
          <w:szCs w:val="24"/>
        </w:rPr>
      </w:pPr>
    </w:p>
    <w:p w:rsidR="00D70BB2" w:rsidRDefault="00FE4CD4" w:rsidP="00FE4CD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 zprávy svitavského pracoviště Oddělení pobytové kontroly, pátrání a eskort Odboru cizinecké policie Krajského ředitelství policie Pardubického kraje bylo ke dni </w:t>
      </w:r>
      <w:proofErr w:type="gramStart"/>
      <w:r w:rsidR="00D70BB2">
        <w:rPr>
          <w:rFonts w:ascii="Arial" w:hAnsi="Arial" w:cs="Arial"/>
          <w:sz w:val="24"/>
          <w:szCs w:val="24"/>
        </w:rPr>
        <w:t>20.3</w:t>
      </w:r>
      <w:r>
        <w:rPr>
          <w:rFonts w:ascii="Arial" w:hAnsi="Arial" w:cs="Arial"/>
          <w:sz w:val="24"/>
          <w:szCs w:val="24"/>
        </w:rPr>
        <w:t>.202</w:t>
      </w:r>
      <w:r w:rsidR="00D70BB2">
        <w:rPr>
          <w:rFonts w:ascii="Arial" w:hAnsi="Arial" w:cs="Arial"/>
          <w:sz w:val="24"/>
          <w:szCs w:val="24"/>
        </w:rPr>
        <w:t>4</w:t>
      </w:r>
      <w:proofErr w:type="gramEnd"/>
      <w:r>
        <w:rPr>
          <w:rFonts w:ascii="Arial" w:hAnsi="Arial" w:cs="Arial"/>
          <w:sz w:val="24"/>
          <w:szCs w:val="24"/>
        </w:rPr>
        <w:t xml:space="preserve"> v okrese Svitavy hlášeno k pobytu </w:t>
      </w:r>
      <w:r w:rsidR="00D70BB2">
        <w:rPr>
          <w:rFonts w:ascii="Arial" w:hAnsi="Arial" w:cs="Arial"/>
          <w:sz w:val="24"/>
          <w:szCs w:val="24"/>
        </w:rPr>
        <w:t xml:space="preserve">4987 cizinců, přibližně 80 % tvoří státní příslušníci Ukrajiny, nejčastěji na základě udělené dočasné ochrany na území ČR nebo na </w:t>
      </w:r>
      <w:r w:rsidR="00D70BB2">
        <w:rPr>
          <w:rFonts w:ascii="Arial" w:hAnsi="Arial" w:cs="Arial"/>
          <w:sz w:val="24"/>
          <w:szCs w:val="24"/>
        </w:rPr>
        <w:lastRenderedPageBreak/>
        <w:t xml:space="preserve">udělené strpění k pobytu vzhledem k probíhajícímu válečnému konfliktu. Další nejpočetnější skupinou jsou občané Vietnamu s trvalým pobytem na území ČR. V řádech nižších desítek jsou to občané Moldávie, Rumunska, Slovenska. Přímo ve Svitavách je k pobytu hlášeno 526 cizinců, opět nejvíce občanů Ukrajiny. </w:t>
      </w:r>
      <w:r w:rsidR="002230A7">
        <w:rPr>
          <w:rFonts w:ascii="Arial" w:hAnsi="Arial" w:cs="Arial"/>
          <w:sz w:val="24"/>
          <w:szCs w:val="24"/>
        </w:rPr>
        <w:t>Skutečné stavy cizinců nelze takto určit vzhledem k jejich migraci v rámci celé ČR.</w:t>
      </w:r>
    </w:p>
    <w:p w:rsidR="002230A7" w:rsidRDefault="002230A7" w:rsidP="00FE4CD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Nejčastěji jsou řešeny přestupky podle zákona o pobytů cizinců – nepředložení dokladu o cestovním zdravotním pojištění, neohlášení změny pobytu na území ČR, dále nelegální výkon pracovní činnosti a nelegální pobyty.</w:t>
      </w:r>
    </w:p>
    <w:p w:rsidR="00B819D7" w:rsidRDefault="00B819D7" w:rsidP="00FE4CD4">
      <w:pPr>
        <w:jc w:val="both"/>
        <w:rPr>
          <w:rFonts w:ascii="Arial" w:hAnsi="Arial" w:cs="Arial"/>
          <w:sz w:val="24"/>
          <w:szCs w:val="24"/>
        </w:rPr>
      </w:pPr>
    </w:p>
    <w:p w:rsidR="002B5E5B" w:rsidRPr="004058A9" w:rsidRDefault="00AE2F35" w:rsidP="004058A9">
      <w:pPr>
        <w:pStyle w:val="Nadpis1"/>
        <w:rPr>
          <w:rFonts w:ascii="Arial" w:hAnsi="Arial" w:cs="Arial"/>
          <w:b/>
          <w:color w:val="auto"/>
          <w:sz w:val="28"/>
          <w:szCs w:val="28"/>
        </w:rPr>
      </w:pPr>
      <w:r w:rsidRPr="00AE2F35">
        <w:rPr>
          <w:rFonts w:ascii="Arial" w:hAnsi="Arial" w:cs="Arial"/>
          <w:b/>
          <w:color w:val="auto"/>
          <w:sz w:val="28"/>
          <w:szCs w:val="28"/>
        </w:rPr>
        <w:t>6. ZávěR</w:t>
      </w:r>
    </w:p>
    <w:p w:rsidR="00B819D7" w:rsidRDefault="004058A9" w:rsidP="00FE4CD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V roce 2023 </w:t>
      </w:r>
      <w:r w:rsidR="00476073" w:rsidRPr="00EA557B">
        <w:rPr>
          <w:rFonts w:ascii="Arial" w:hAnsi="Arial" w:cs="Arial"/>
          <w:b/>
          <w:sz w:val="24"/>
          <w:szCs w:val="24"/>
        </w:rPr>
        <w:t xml:space="preserve">nedošlo na území </w:t>
      </w:r>
      <w:r>
        <w:rPr>
          <w:rFonts w:ascii="Arial" w:hAnsi="Arial" w:cs="Arial"/>
          <w:b/>
          <w:sz w:val="24"/>
          <w:szCs w:val="24"/>
        </w:rPr>
        <w:t xml:space="preserve">v působnosti </w:t>
      </w:r>
      <w:r w:rsidR="00476073" w:rsidRPr="00EA557B">
        <w:rPr>
          <w:rFonts w:ascii="Arial" w:hAnsi="Arial" w:cs="Arial"/>
          <w:b/>
          <w:sz w:val="24"/>
          <w:szCs w:val="24"/>
        </w:rPr>
        <w:t>OOP Svitavy k žádnému významnému narušení veřejného pořádku</w:t>
      </w:r>
      <w:r>
        <w:rPr>
          <w:rFonts w:ascii="Arial" w:hAnsi="Arial" w:cs="Arial"/>
          <w:b/>
          <w:sz w:val="24"/>
          <w:szCs w:val="24"/>
        </w:rPr>
        <w:t>,</w:t>
      </w:r>
      <w:r w:rsidR="00D457C6">
        <w:rPr>
          <w:rFonts w:ascii="Arial" w:hAnsi="Arial" w:cs="Arial"/>
          <w:b/>
          <w:sz w:val="24"/>
          <w:szCs w:val="24"/>
        </w:rPr>
        <w:t xml:space="preserve"> bezpečnostní situace je </w:t>
      </w:r>
      <w:r w:rsidR="00476073">
        <w:rPr>
          <w:rFonts w:ascii="Arial" w:hAnsi="Arial" w:cs="Arial"/>
          <w:b/>
          <w:sz w:val="24"/>
          <w:szCs w:val="24"/>
        </w:rPr>
        <w:t>dlouhodobě stabilní.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sectPr w:rsidR="00B819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061" w:rsidRDefault="00FA7061" w:rsidP="001A2BE7">
      <w:pPr>
        <w:spacing w:before="0" w:after="0" w:line="240" w:lineRule="auto"/>
      </w:pPr>
      <w:r>
        <w:separator/>
      </w:r>
    </w:p>
  </w:endnote>
  <w:endnote w:type="continuationSeparator" w:id="0">
    <w:p w:rsidR="00FA7061" w:rsidRDefault="00FA7061" w:rsidP="001A2BE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670" w:rsidRDefault="005D267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8910645"/>
      <w:docPartObj>
        <w:docPartGallery w:val="Page Numbers (Bottom of Page)"/>
        <w:docPartUnique/>
      </w:docPartObj>
    </w:sdtPr>
    <w:sdtEndPr/>
    <w:sdtContent>
      <w:p w:rsidR="00FA7061" w:rsidRDefault="00FA706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FDC">
          <w:rPr>
            <w:noProof/>
          </w:rPr>
          <w:t>1</w:t>
        </w:r>
        <w:r>
          <w:fldChar w:fldCharType="end"/>
        </w:r>
      </w:p>
    </w:sdtContent>
  </w:sdt>
  <w:p w:rsidR="00FA7061" w:rsidRDefault="00FA706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670" w:rsidRDefault="005D267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061" w:rsidRDefault="00FA7061" w:rsidP="001A2BE7">
      <w:pPr>
        <w:spacing w:before="0" w:after="0" w:line="240" w:lineRule="auto"/>
      </w:pPr>
      <w:r>
        <w:separator/>
      </w:r>
    </w:p>
  </w:footnote>
  <w:footnote w:type="continuationSeparator" w:id="0">
    <w:p w:rsidR="00FA7061" w:rsidRDefault="00FA7061" w:rsidP="001A2BE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670" w:rsidRDefault="005D267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670" w:rsidRPr="005D2670" w:rsidRDefault="00EE6FDC" w:rsidP="005D2670">
    <w:pPr>
      <w:pStyle w:val="Zhlav"/>
      <w:jc w:val="right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3</w:t>
    </w:r>
    <w:bookmarkStart w:id="0" w:name="_GoBack"/>
    <w:bookmarkEnd w:id="0"/>
    <w:r w:rsidR="005D2670">
      <w:rPr>
        <w:rFonts w:ascii="Arial" w:hAnsi="Arial" w:cs="Arial"/>
        <w:b/>
        <w:sz w:val="24"/>
        <w:szCs w:val="24"/>
      </w:rPr>
      <w:t>.1.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670" w:rsidRDefault="005D267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875361"/>
    <w:multiLevelType w:val="hybridMultilevel"/>
    <w:tmpl w:val="2236DB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DB6592"/>
    <w:multiLevelType w:val="hybridMultilevel"/>
    <w:tmpl w:val="11E8432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1DA"/>
    <w:rsid w:val="00000CC3"/>
    <w:rsid w:val="00001C7A"/>
    <w:rsid w:val="000064CB"/>
    <w:rsid w:val="00030178"/>
    <w:rsid w:val="000563DB"/>
    <w:rsid w:val="000663DE"/>
    <w:rsid w:val="00072FB5"/>
    <w:rsid w:val="000B3089"/>
    <w:rsid w:val="000B5AE3"/>
    <w:rsid w:val="000D0C4D"/>
    <w:rsid w:val="000D51C9"/>
    <w:rsid w:val="00100B1B"/>
    <w:rsid w:val="00102A8E"/>
    <w:rsid w:val="00103FC9"/>
    <w:rsid w:val="00104170"/>
    <w:rsid w:val="001A2BE7"/>
    <w:rsid w:val="001E1B5A"/>
    <w:rsid w:val="001F2E8F"/>
    <w:rsid w:val="001F42C8"/>
    <w:rsid w:val="002055DE"/>
    <w:rsid w:val="002230A7"/>
    <w:rsid w:val="00262A9E"/>
    <w:rsid w:val="002B5E5B"/>
    <w:rsid w:val="002F4053"/>
    <w:rsid w:val="003101B3"/>
    <w:rsid w:val="003151DA"/>
    <w:rsid w:val="00326C03"/>
    <w:rsid w:val="00385C45"/>
    <w:rsid w:val="003C2242"/>
    <w:rsid w:val="003D1DF4"/>
    <w:rsid w:val="003D4324"/>
    <w:rsid w:val="003F739F"/>
    <w:rsid w:val="004058A9"/>
    <w:rsid w:val="004122C6"/>
    <w:rsid w:val="00476073"/>
    <w:rsid w:val="004D040C"/>
    <w:rsid w:val="004D312F"/>
    <w:rsid w:val="0052185D"/>
    <w:rsid w:val="00523F4E"/>
    <w:rsid w:val="005334E3"/>
    <w:rsid w:val="005519B5"/>
    <w:rsid w:val="0059030C"/>
    <w:rsid w:val="005D2670"/>
    <w:rsid w:val="006017B1"/>
    <w:rsid w:val="006077EC"/>
    <w:rsid w:val="006479F8"/>
    <w:rsid w:val="006832DB"/>
    <w:rsid w:val="007165EC"/>
    <w:rsid w:val="00751470"/>
    <w:rsid w:val="0075567C"/>
    <w:rsid w:val="0076067F"/>
    <w:rsid w:val="007972CE"/>
    <w:rsid w:val="007A3A7D"/>
    <w:rsid w:val="007E7343"/>
    <w:rsid w:val="00803024"/>
    <w:rsid w:val="008269D0"/>
    <w:rsid w:val="00853CE4"/>
    <w:rsid w:val="00871784"/>
    <w:rsid w:val="008757E2"/>
    <w:rsid w:val="00876034"/>
    <w:rsid w:val="00877D60"/>
    <w:rsid w:val="008C0055"/>
    <w:rsid w:val="008C3447"/>
    <w:rsid w:val="00950607"/>
    <w:rsid w:val="00962F32"/>
    <w:rsid w:val="00A27100"/>
    <w:rsid w:val="00A973F8"/>
    <w:rsid w:val="00A9798F"/>
    <w:rsid w:val="00AA3213"/>
    <w:rsid w:val="00AA53CE"/>
    <w:rsid w:val="00AE2F35"/>
    <w:rsid w:val="00AF5C1D"/>
    <w:rsid w:val="00B71804"/>
    <w:rsid w:val="00B764FE"/>
    <w:rsid w:val="00B819D7"/>
    <w:rsid w:val="00B87272"/>
    <w:rsid w:val="00BC21C8"/>
    <w:rsid w:val="00BD1B77"/>
    <w:rsid w:val="00BD23C3"/>
    <w:rsid w:val="00BD6D3A"/>
    <w:rsid w:val="00BD7C98"/>
    <w:rsid w:val="00BF22D7"/>
    <w:rsid w:val="00BF73A2"/>
    <w:rsid w:val="00C36F82"/>
    <w:rsid w:val="00C5723E"/>
    <w:rsid w:val="00C578A5"/>
    <w:rsid w:val="00C701F7"/>
    <w:rsid w:val="00C96E5F"/>
    <w:rsid w:val="00D4284C"/>
    <w:rsid w:val="00D457C6"/>
    <w:rsid w:val="00D63B28"/>
    <w:rsid w:val="00D70BB2"/>
    <w:rsid w:val="00D87E06"/>
    <w:rsid w:val="00DA096D"/>
    <w:rsid w:val="00DF0011"/>
    <w:rsid w:val="00E2252F"/>
    <w:rsid w:val="00E40F36"/>
    <w:rsid w:val="00E53D78"/>
    <w:rsid w:val="00E8605C"/>
    <w:rsid w:val="00EA557B"/>
    <w:rsid w:val="00EE6FDC"/>
    <w:rsid w:val="00F30993"/>
    <w:rsid w:val="00F739D2"/>
    <w:rsid w:val="00F74D63"/>
    <w:rsid w:val="00F80E68"/>
    <w:rsid w:val="00F84B17"/>
    <w:rsid w:val="00FA7061"/>
    <w:rsid w:val="00FE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DD49232-7174-4B17-B7E7-DA4E7AABE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cs-CZ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2E8F"/>
  </w:style>
  <w:style w:type="paragraph" w:styleId="Nadpis1">
    <w:name w:val="heading 1"/>
    <w:basedOn w:val="Normln"/>
    <w:next w:val="Normln"/>
    <w:link w:val="Nadpis1Char"/>
    <w:uiPriority w:val="9"/>
    <w:qFormat/>
    <w:rsid w:val="001F2E8F"/>
    <w:pPr>
      <w:pBdr>
        <w:top w:val="single" w:sz="24" w:space="0" w:color="9CC3E5" w:themeColor="accent1"/>
        <w:left w:val="single" w:sz="24" w:space="0" w:color="9CC3E5" w:themeColor="accent1"/>
        <w:bottom w:val="single" w:sz="24" w:space="0" w:color="9CC3E5" w:themeColor="accent1"/>
        <w:right w:val="single" w:sz="24" w:space="0" w:color="9CC3E5" w:themeColor="accent1"/>
      </w:pBdr>
      <w:shd w:val="clear" w:color="auto" w:fill="9CC3E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2E8F"/>
    <w:pPr>
      <w:pBdr>
        <w:top w:val="single" w:sz="24" w:space="0" w:color="EBF2F9" w:themeColor="accent1" w:themeTint="33"/>
        <w:left w:val="single" w:sz="24" w:space="0" w:color="EBF2F9" w:themeColor="accent1" w:themeTint="33"/>
        <w:bottom w:val="single" w:sz="24" w:space="0" w:color="EBF2F9" w:themeColor="accent1" w:themeTint="33"/>
        <w:right w:val="single" w:sz="24" w:space="0" w:color="EBF2F9" w:themeColor="accent1" w:themeTint="33"/>
      </w:pBdr>
      <w:shd w:val="clear" w:color="auto" w:fill="EBF2F9" w:themeFill="accent1" w:themeFillTint="33"/>
      <w:spacing w:after="0"/>
      <w:outlineLvl w:val="1"/>
    </w:pPr>
    <w:rPr>
      <w:caps/>
      <w:spacing w:val="15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F2E8F"/>
    <w:pPr>
      <w:pBdr>
        <w:top w:val="single" w:sz="6" w:space="2" w:color="9CC3E5" w:themeColor="accent1"/>
      </w:pBdr>
      <w:spacing w:before="300" w:after="0"/>
      <w:outlineLvl w:val="2"/>
    </w:pPr>
    <w:rPr>
      <w:caps/>
      <w:color w:val="286397" w:themeColor="accent1" w:themeShade="7F"/>
      <w:spacing w:val="15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F2E8F"/>
    <w:pPr>
      <w:pBdr>
        <w:top w:val="dotted" w:sz="6" w:space="2" w:color="9CC3E5" w:themeColor="accent1"/>
      </w:pBdr>
      <w:spacing w:before="200" w:after="0"/>
      <w:outlineLvl w:val="3"/>
    </w:pPr>
    <w:rPr>
      <w:caps/>
      <w:color w:val="4F94D1" w:themeColor="accent1" w:themeShade="BF"/>
      <w:spacing w:val="1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F2E8F"/>
    <w:pPr>
      <w:pBdr>
        <w:bottom w:val="single" w:sz="6" w:space="1" w:color="9CC3E5" w:themeColor="accent1"/>
      </w:pBdr>
      <w:spacing w:before="200" w:after="0"/>
      <w:outlineLvl w:val="4"/>
    </w:pPr>
    <w:rPr>
      <w:caps/>
      <w:color w:val="4F94D1" w:themeColor="accent1" w:themeShade="BF"/>
      <w:spacing w:val="1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F2E8F"/>
    <w:pPr>
      <w:pBdr>
        <w:bottom w:val="dotted" w:sz="6" w:space="1" w:color="9CC3E5" w:themeColor="accent1"/>
      </w:pBdr>
      <w:spacing w:before="200" w:after="0"/>
      <w:outlineLvl w:val="5"/>
    </w:pPr>
    <w:rPr>
      <w:caps/>
      <w:color w:val="4F94D1" w:themeColor="accent1" w:themeShade="BF"/>
      <w:spacing w:val="1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F2E8F"/>
    <w:pPr>
      <w:spacing w:before="200" w:after="0"/>
      <w:outlineLvl w:val="6"/>
    </w:pPr>
    <w:rPr>
      <w:caps/>
      <w:color w:val="4F94D1" w:themeColor="accent1" w:themeShade="BF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F2E8F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F2E8F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F2E8F"/>
    <w:rPr>
      <w:caps/>
      <w:color w:val="FFFFFF" w:themeColor="background1"/>
      <w:spacing w:val="15"/>
      <w:sz w:val="22"/>
      <w:szCs w:val="22"/>
      <w:shd w:val="clear" w:color="auto" w:fill="9CC3E5" w:themeFill="accent1"/>
    </w:rPr>
  </w:style>
  <w:style w:type="paragraph" w:styleId="Zhlav">
    <w:name w:val="header"/>
    <w:basedOn w:val="Normln"/>
    <w:link w:val="ZhlavChar"/>
    <w:uiPriority w:val="99"/>
    <w:unhideWhenUsed/>
    <w:rsid w:val="001A2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2BE7"/>
  </w:style>
  <w:style w:type="paragraph" w:styleId="Zpat">
    <w:name w:val="footer"/>
    <w:basedOn w:val="Normln"/>
    <w:link w:val="ZpatChar"/>
    <w:uiPriority w:val="99"/>
    <w:unhideWhenUsed/>
    <w:rsid w:val="001A2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2BE7"/>
  </w:style>
  <w:style w:type="character" w:customStyle="1" w:styleId="Nadpis2Char">
    <w:name w:val="Nadpis 2 Char"/>
    <w:basedOn w:val="Standardnpsmoodstavce"/>
    <w:link w:val="Nadpis2"/>
    <w:uiPriority w:val="9"/>
    <w:semiHidden/>
    <w:rsid w:val="001F2E8F"/>
    <w:rPr>
      <w:caps/>
      <w:spacing w:val="15"/>
      <w:shd w:val="clear" w:color="auto" w:fill="EBF2F9" w:themeFill="accent1" w:themeFillTint="33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F2E8F"/>
    <w:rPr>
      <w:caps/>
      <w:color w:val="286397" w:themeColor="accent1" w:themeShade="7F"/>
      <w:spacing w:val="15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F2E8F"/>
    <w:rPr>
      <w:caps/>
      <w:color w:val="4F94D1" w:themeColor="accent1" w:themeShade="B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F2E8F"/>
    <w:rPr>
      <w:caps/>
      <w:color w:val="4F94D1" w:themeColor="accent1" w:themeShade="B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F2E8F"/>
    <w:rPr>
      <w:caps/>
      <w:color w:val="4F94D1" w:themeColor="accent1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F2E8F"/>
    <w:rPr>
      <w:caps/>
      <w:color w:val="4F94D1" w:themeColor="accent1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F2E8F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F2E8F"/>
    <w:rPr>
      <w:i/>
      <w:iCs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1F2E8F"/>
    <w:rPr>
      <w:b/>
      <w:bCs/>
      <w:color w:val="4F94D1" w:themeColor="accent1" w:themeShade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1F2E8F"/>
    <w:pPr>
      <w:spacing w:before="0" w:after="0"/>
    </w:pPr>
    <w:rPr>
      <w:rFonts w:asciiTheme="majorHAnsi" w:eastAsiaTheme="majorEastAsia" w:hAnsiTheme="majorHAnsi" w:cstheme="majorBidi"/>
      <w:caps/>
      <w:color w:val="9CC3E5" w:themeColor="accent1"/>
      <w:spacing w:val="10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F2E8F"/>
    <w:rPr>
      <w:rFonts w:asciiTheme="majorHAnsi" w:eastAsiaTheme="majorEastAsia" w:hAnsiTheme="majorHAnsi" w:cstheme="majorBidi"/>
      <w:caps/>
      <w:color w:val="9CC3E5" w:themeColor="accent1"/>
      <w:spacing w:val="10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F2E8F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itulChar">
    <w:name w:val="Podtitul Char"/>
    <w:basedOn w:val="Standardnpsmoodstavce"/>
    <w:link w:val="Podtitul"/>
    <w:uiPriority w:val="11"/>
    <w:rsid w:val="001F2E8F"/>
    <w:rPr>
      <w:caps/>
      <w:color w:val="595959" w:themeColor="text1" w:themeTint="A6"/>
      <w:spacing w:val="10"/>
      <w:sz w:val="21"/>
      <w:szCs w:val="21"/>
    </w:rPr>
  </w:style>
  <w:style w:type="character" w:styleId="Siln">
    <w:name w:val="Strong"/>
    <w:uiPriority w:val="22"/>
    <w:qFormat/>
    <w:rsid w:val="001F2E8F"/>
    <w:rPr>
      <w:b/>
      <w:bCs/>
    </w:rPr>
  </w:style>
  <w:style w:type="character" w:styleId="Zdraznn">
    <w:name w:val="Emphasis"/>
    <w:uiPriority w:val="20"/>
    <w:qFormat/>
    <w:rsid w:val="001F2E8F"/>
    <w:rPr>
      <w:caps/>
      <w:color w:val="286397" w:themeColor="accent1" w:themeShade="7F"/>
      <w:spacing w:val="5"/>
    </w:rPr>
  </w:style>
  <w:style w:type="paragraph" w:styleId="Bezmezer">
    <w:name w:val="No Spacing"/>
    <w:uiPriority w:val="1"/>
    <w:qFormat/>
    <w:rsid w:val="001F2E8F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1F2E8F"/>
    <w:rPr>
      <w:i/>
      <w:iCs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1F2E8F"/>
    <w:rPr>
      <w:i/>
      <w:iCs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F2E8F"/>
    <w:pPr>
      <w:spacing w:before="240" w:after="240" w:line="240" w:lineRule="auto"/>
      <w:ind w:left="1080" w:right="1080"/>
      <w:jc w:val="center"/>
    </w:pPr>
    <w:rPr>
      <w:color w:val="9CC3E5" w:themeColor="accent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F2E8F"/>
    <w:rPr>
      <w:color w:val="9CC3E5" w:themeColor="accent1"/>
      <w:sz w:val="24"/>
      <w:szCs w:val="24"/>
    </w:rPr>
  </w:style>
  <w:style w:type="character" w:styleId="Zdraznnjemn">
    <w:name w:val="Subtle Emphasis"/>
    <w:uiPriority w:val="19"/>
    <w:qFormat/>
    <w:rsid w:val="001F2E8F"/>
    <w:rPr>
      <w:i/>
      <w:iCs/>
      <w:color w:val="286397" w:themeColor="accent1" w:themeShade="7F"/>
    </w:rPr>
  </w:style>
  <w:style w:type="character" w:styleId="Zdraznnintenzivn">
    <w:name w:val="Intense Emphasis"/>
    <w:uiPriority w:val="21"/>
    <w:qFormat/>
    <w:rsid w:val="001F2E8F"/>
    <w:rPr>
      <w:b/>
      <w:bCs/>
      <w:caps/>
      <w:color w:val="286397" w:themeColor="accent1" w:themeShade="7F"/>
      <w:spacing w:val="10"/>
    </w:rPr>
  </w:style>
  <w:style w:type="character" w:styleId="Odkazjemn">
    <w:name w:val="Subtle Reference"/>
    <w:uiPriority w:val="31"/>
    <w:qFormat/>
    <w:rsid w:val="001F2E8F"/>
    <w:rPr>
      <w:b/>
      <w:bCs/>
      <w:color w:val="9CC3E5" w:themeColor="accent1"/>
    </w:rPr>
  </w:style>
  <w:style w:type="character" w:styleId="Odkazintenzivn">
    <w:name w:val="Intense Reference"/>
    <w:uiPriority w:val="32"/>
    <w:qFormat/>
    <w:rsid w:val="001F2E8F"/>
    <w:rPr>
      <w:b/>
      <w:bCs/>
      <w:i/>
      <w:iCs/>
      <w:caps/>
      <w:color w:val="9CC3E5" w:themeColor="accent1"/>
    </w:rPr>
  </w:style>
  <w:style w:type="character" w:styleId="Nzevknihy">
    <w:name w:val="Book Title"/>
    <w:uiPriority w:val="33"/>
    <w:qFormat/>
    <w:rsid w:val="001F2E8F"/>
    <w:rPr>
      <w:b/>
      <w:bCs/>
      <w:i/>
      <w:iC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F2E8F"/>
    <w:pPr>
      <w:outlineLvl w:val="9"/>
    </w:pPr>
  </w:style>
  <w:style w:type="table" w:styleId="Mkatabulky">
    <w:name w:val="Table Grid"/>
    <w:basedOn w:val="Normlntabulka"/>
    <w:uiPriority w:val="39"/>
    <w:rsid w:val="00950607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C00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Vlastní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CC3E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0C33F-F897-4DE0-9309-3AD97ADA3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2578</TotalTime>
  <Pages>6</Pages>
  <Words>1077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Policie ČR</Company>
  <LinksUpToDate>false</LinksUpToDate>
  <CharactersWithSpaces>7423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FENGL Josef</dc:creator>
  <cp:keywords/>
  <dc:description/>
  <cp:lastModifiedBy>Renata Klemšová</cp:lastModifiedBy>
  <cp:revision>13</cp:revision>
  <dcterms:created xsi:type="dcterms:W3CDTF">2023-04-13T10:34:00Z</dcterms:created>
  <dcterms:modified xsi:type="dcterms:W3CDTF">2024-06-03T11:09:00Z</dcterms:modified>
</cp:coreProperties>
</file>