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881" w:rsidRPr="00183AE9" w:rsidRDefault="00E44256" w:rsidP="00B8693F">
      <w:pPr>
        <w:widowControl w:val="0"/>
        <w:tabs>
          <w:tab w:val="left" w:pos="2700"/>
          <w:tab w:val="right" w:pos="8928"/>
        </w:tabs>
        <w:autoSpaceDE w:val="0"/>
        <w:autoSpaceDN w:val="0"/>
        <w:adjustRightInd w:val="0"/>
        <w:ind w:left="3420" w:right="144" w:hanging="720"/>
        <w:rPr>
          <w:rFonts w:ascii="Arial" w:hAnsi="Arial" w:cs="Arial"/>
          <w:b/>
          <w:bCs/>
          <w:szCs w:val="20"/>
        </w:rPr>
      </w:pPr>
      <w:bookmarkStart w:id="0" w:name="_GoBack"/>
      <w:bookmarkEnd w:id="0"/>
      <w:r w:rsidRPr="00183AE9">
        <w:rPr>
          <w:rFonts w:ascii="Arial" w:hAnsi="Arial" w:cs="Arial"/>
          <w:noProof/>
        </w:rPr>
        <w:drawing>
          <wp:anchor distT="0" distB="0" distL="114300" distR="114300" simplePos="0" relativeHeight="251657728" behindDoc="1" locked="0" layoutInCell="1" allowOverlap="1">
            <wp:simplePos x="0" y="0"/>
            <wp:positionH relativeFrom="page">
              <wp:posOffset>885825</wp:posOffset>
            </wp:positionH>
            <wp:positionV relativeFrom="page">
              <wp:posOffset>932815</wp:posOffset>
            </wp:positionV>
            <wp:extent cx="1245235" cy="1223645"/>
            <wp:effectExtent l="0" t="0" r="9525" b="3810"/>
            <wp:wrapNone/>
            <wp:docPr id="3" name="obrázek 3" descr="Svitavy_hl_papir_MU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vitavy_hl_papir_MU_C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45235" cy="122364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rPr>
        <w:t>Odbor dopravy, odbor správních činností</w:t>
      </w:r>
      <w:r w:rsidR="007F5832" w:rsidRPr="00183AE9">
        <w:rPr>
          <w:rFonts w:ascii="Arial" w:hAnsi="Arial" w:cs="Arial"/>
          <w:b/>
        </w:rPr>
        <w:t xml:space="preserve"> </w:t>
      </w:r>
      <w:r w:rsidR="00B8693F">
        <w:rPr>
          <w:rFonts w:ascii="Arial" w:hAnsi="Arial" w:cs="Arial"/>
          <w:b/>
        </w:rPr>
        <w:tab/>
        <w:t>1.4.</w:t>
      </w:r>
    </w:p>
    <w:p w:rsidR="00C56881" w:rsidRPr="00183AE9" w:rsidRDefault="00C56881">
      <w:pPr>
        <w:widowControl w:val="0"/>
        <w:autoSpaceDE w:val="0"/>
        <w:autoSpaceDN w:val="0"/>
        <w:adjustRightInd w:val="0"/>
        <w:ind w:right="144"/>
        <w:jc w:val="both"/>
        <w:rPr>
          <w:rFonts w:ascii="Arial" w:hAnsi="Arial" w:cs="Arial"/>
          <w:szCs w:val="20"/>
        </w:rPr>
      </w:pPr>
    </w:p>
    <w:p w:rsidR="00C2128C" w:rsidRPr="00183AE9" w:rsidRDefault="00C2128C">
      <w:pPr>
        <w:widowControl w:val="0"/>
        <w:autoSpaceDE w:val="0"/>
        <w:autoSpaceDN w:val="0"/>
        <w:adjustRightInd w:val="0"/>
        <w:ind w:right="144"/>
        <w:jc w:val="both"/>
        <w:rPr>
          <w:rFonts w:ascii="Arial" w:hAnsi="Arial" w:cs="Arial"/>
          <w:szCs w:val="20"/>
        </w:rPr>
      </w:pPr>
    </w:p>
    <w:p w:rsidR="00C56881" w:rsidRPr="00E44256" w:rsidRDefault="00C56881" w:rsidP="00597194">
      <w:pPr>
        <w:widowControl w:val="0"/>
        <w:tabs>
          <w:tab w:val="left" w:pos="2700"/>
        </w:tabs>
        <w:autoSpaceDE w:val="0"/>
        <w:autoSpaceDN w:val="0"/>
        <w:adjustRightInd w:val="0"/>
        <w:ind w:left="5400" w:right="144" w:hanging="2700"/>
        <w:rPr>
          <w:rFonts w:ascii="Arial" w:hAnsi="Arial" w:cs="Arial"/>
          <w:szCs w:val="20"/>
        </w:rPr>
      </w:pPr>
      <w:r w:rsidRPr="00183AE9">
        <w:rPr>
          <w:rFonts w:ascii="Arial" w:hAnsi="Arial" w:cs="Arial"/>
          <w:szCs w:val="20"/>
        </w:rPr>
        <w:t xml:space="preserve">Pro jednání </w:t>
      </w:r>
      <w:r w:rsidR="00F819A6">
        <w:rPr>
          <w:rFonts w:ascii="Arial" w:hAnsi="Arial" w:cs="Arial"/>
          <w:szCs w:val="20"/>
        </w:rPr>
        <w:t>zastupitelstva</w:t>
      </w:r>
      <w:r w:rsidRPr="00183AE9">
        <w:rPr>
          <w:rFonts w:ascii="Arial" w:hAnsi="Arial" w:cs="Arial"/>
          <w:szCs w:val="20"/>
        </w:rPr>
        <w:t xml:space="preserve"> města dne</w:t>
      </w:r>
      <w:r w:rsidR="008A7DBE" w:rsidRPr="00183AE9">
        <w:rPr>
          <w:rFonts w:ascii="Arial" w:hAnsi="Arial" w:cs="Arial"/>
          <w:szCs w:val="20"/>
        </w:rPr>
        <w:t>:</w:t>
      </w:r>
      <w:r w:rsidR="006167B5" w:rsidRPr="00183AE9">
        <w:rPr>
          <w:rFonts w:ascii="Arial" w:hAnsi="Arial" w:cs="Arial"/>
          <w:szCs w:val="20"/>
        </w:rPr>
        <w:t xml:space="preserve"> </w:t>
      </w:r>
      <w:r w:rsidR="007F5832" w:rsidRPr="00183AE9">
        <w:rPr>
          <w:rFonts w:ascii="Arial" w:hAnsi="Arial" w:cs="Arial"/>
          <w:szCs w:val="20"/>
        </w:rPr>
        <w:t xml:space="preserve"> </w:t>
      </w:r>
      <w:proofErr w:type="gramStart"/>
      <w:r w:rsidR="00E44256">
        <w:rPr>
          <w:rFonts w:ascii="Arial" w:hAnsi="Arial" w:cs="Arial"/>
          <w:szCs w:val="20"/>
        </w:rPr>
        <w:t>1</w:t>
      </w:r>
      <w:r w:rsidR="00872D41">
        <w:rPr>
          <w:rFonts w:ascii="Arial" w:hAnsi="Arial" w:cs="Arial"/>
          <w:szCs w:val="20"/>
        </w:rPr>
        <w:t>5</w:t>
      </w:r>
      <w:r w:rsidR="00E44256">
        <w:rPr>
          <w:rFonts w:ascii="Arial" w:hAnsi="Arial" w:cs="Arial"/>
          <w:szCs w:val="20"/>
        </w:rPr>
        <w:t>.05.202</w:t>
      </w:r>
      <w:r w:rsidR="00872D41">
        <w:rPr>
          <w:rFonts w:ascii="Arial" w:hAnsi="Arial" w:cs="Arial"/>
          <w:szCs w:val="20"/>
        </w:rPr>
        <w:t>3</w:t>
      </w:r>
      <w:proofErr w:type="gramEnd"/>
    </w:p>
    <w:p w:rsidR="00872D41" w:rsidRPr="00183AE9" w:rsidRDefault="00C56881" w:rsidP="00872D41">
      <w:pPr>
        <w:widowControl w:val="0"/>
        <w:autoSpaceDE w:val="0"/>
        <w:autoSpaceDN w:val="0"/>
        <w:adjustRightInd w:val="0"/>
        <w:ind w:left="3780" w:right="144" w:hanging="1080"/>
        <w:rPr>
          <w:rFonts w:ascii="Arial" w:hAnsi="Arial" w:cs="Arial"/>
          <w:szCs w:val="20"/>
        </w:rPr>
      </w:pPr>
      <w:r w:rsidRPr="00183AE9">
        <w:rPr>
          <w:rFonts w:ascii="Arial" w:hAnsi="Arial" w:cs="Arial"/>
          <w:bCs/>
          <w:szCs w:val="20"/>
        </w:rPr>
        <w:t>Zpracoval:</w:t>
      </w:r>
      <w:r w:rsidR="007F5832" w:rsidRPr="00183AE9">
        <w:rPr>
          <w:rFonts w:ascii="Arial" w:hAnsi="Arial" w:cs="Arial"/>
          <w:bCs/>
          <w:szCs w:val="20"/>
        </w:rPr>
        <w:t xml:space="preserve"> </w:t>
      </w:r>
      <w:r w:rsidR="00872D41">
        <w:rPr>
          <w:rFonts w:ascii="Arial" w:hAnsi="Arial" w:cs="Arial"/>
          <w:bCs/>
          <w:szCs w:val="20"/>
        </w:rPr>
        <w:t>Bc. Jana Šneková, Mgr. Zuzana Moravcová</w:t>
      </w:r>
    </w:p>
    <w:p w:rsidR="00C56881" w:rsidRPr="00183AE9" w:rsidRDefault="00C56881" w:rsidP="00872D41">
      <w:pPr>
        <w:widowControl w:val="0"/>
        <w:autoSpaceDE w:val="0"/>
        <w:autoSpaceDN w:val="0"/>
        <w:adjustRightInd w:val="0"/>
        <w:ind w:left="3780" w:right="144" w:hanging="1080"/>
        <w:rPr>
          <w:rFonts w:ascii="Arial" w:hAnsi="Arial" w:cs="Arial"/>
          <w:szCs w:val="20"/>
        </w:rPr>
      </w:pPr>
      <w:r w:rsidRPr="00183AE9">
        <w:rPr>
          <w:rFonts w:ascii="Arial" w:hAnsi="Arial" w:cs="Arial"/>
          <w:bCs/>
          <w:szCs w:val="20"/>
        </w:rPr>
        <w:t>Předkládá:</w:t>
      </w:r>
      <w:r w:rsidR="007F5832" w:rsidRPr="00183AE9">
        <w:rPr>
          <w:rFonts w:ascii="Arial" w:hAnsi="Arial" w:cs="Arial"/>
          <w:bCs/>
          <w:szCs w:val="20"/>
        </w:rPr>
        <w:t xml:space="preserve"> </w:t>
      </w:r>
      <w:r w:rsidR="00E44256">
        <w:rPr>
          <w:rFonts w:ascii="Arial" w:hAnsi="Arial" w:cs="Arial"/>
          <w:bCs/>
          <w:szCs w:val="20"/>
        </w:rPr>
        <w:t>rada města</w:t>
      </w:r>
    </w:p>
    <w:p w:rsidR="00C56881" w:rsidRPr="00183AE9" w:rsidRDefault="00C56881">
      <w:pPr>
        <w:widowControl w:val="0"/>
        <w:autoSpaceDE w:val="0"/>
        <w:autoSpaceDN w:val="0"/>
        <w:adjustRightInd w:val="0"/>
        <w:ind w:right="144"/>
        <w:jc w:val="both"/>
        <w:rPr>
          <w:rFonts w:ascii="Arial" w:hAnsi="Arial" w:cs="Arial"/>
          <w:szCs w:val="20"/>
        </w:rPr>
      </w:pPr>
    </w:p>
    <w:p w:rsidR="00C56881" w:rsidRPr="00183AE9" w:rsidRDefault="00C56881">
      <w:pPr>
        <w:widowControl w:val="0"/>
        <w:autoSpaceDE w:val="0"/>
        <w:autoSpaceDN w:val="0"/>
        <w:adjustRightInd w:val="0"/>
        <w:ind w:right="144"/>
        <w:jc w:val="both"/>
        <w:rPr>
          <w:rFonts w:ascii="Arial" w:hAnsi="Arial" w:cs="Arial"/>
          <w:szCs w:val="20"/>
        </w:rPr>
      </w:pPr>
    </w:p>
    <w:p w:rsidR="00C56881" w:rsidRPr="00183AE9" w:rsidRDefault="00C56881">
      <w:pPr>
        <w:widowControl w:val="0"/>
        <w:autoSpaceDE w:val="0"/>
        <w:autoSpaceDN w:val="0"/>
        <w:adjustRightInd w:val="0"/>
        <w:ind w:right="144"/>
        <w:jc w:val="both"/>
        <w:rPr>
          <w:rFonts w:ascii="Arial" w:hAnsi="Arial" w:cs="Arial"/>
          <w:b/>
          <w:sz w:val="28"/>
          <w:szCs w:val="28"/>
          <w:u w:val="single"/>
        </w:rPr>
      </w:pPr>
    </w:p>
    <w:p w:rsidR="00C56881" w:rsidRPr="00183AE9" w:rsidRDefault="00C56881">
      <w:pPr>
        <w:widowControl w:val="0"/>
        <w:autoSpaceDE w:val="0"/>
        <w:autoSpaceDN w:val="0"/>
        <w:adjustRightInd w:val="0"/>
        <w:ind w:right="144"/>
        <w:jc w:val="both"/>
        <w:rPr>
          <w:rFonts w:ascii="Arial" w:hAnsi="Arial" w:cs="Arial"/>
          <w:b/>
          <w:sz w:val="28"/>
          <w:szCs w:val="28"/>
          <w:u w:val="single"/>
        </w:rPr>
      </w:pPr>
    </w:p>
    <w:p w:rsidR="00C56881" w:rsidRPr="00183AE9" w:rsidRDefault="00C56881">
      <w:pPr>
        <w:widowControl w:val="0"/>
        <w:tabs>
          <w:tab w:val="left" w:pos="2452"/>
        </w:tabs>
        <w:autoSpaceDE w:val="0"/>
        <w:autoSpaceDN w:val="0"/>
        <w:adjustRightInd w:val="0"/>
        <w:ind w:right="144"/>
        <w:jc w:val="both"/>
        <w:rPr>
          <w:rFonts w:ascii="Arial" w:hAnsi="Arial" w:cs="Arial"/>
          <w:b/>
          <w:sz w:val="28"/>
          <w:szCs w:val="28"/>
        </w:rPr>
      </w:pPr>
      <w:r w:rsidRPr="00183AE9">
        <w:rPr>
          <w:rFonts w:ascii="Arial" w:hAnsi="Arial" w:cs="Arial"/>
          <w:b/>
          <w:sz w:val="28"/>
          <w:szCs w:val="28"/>
        </w:rPr>
        <w:tab/>
      </w:r>
    </w:p>
    <w:p w:rsidR="00872D41" w:rsidRPr="00A27C43" w:rsidRDefault="00872D41" w:rsidP="00872D41">
      <w:pPr>
        <w:widowControl w:val="0"/>
        <w:autoSpaceDE w:val="0"/>
        <w:autoSpaceDN w:val="0"/>
        <w:adjustRightInd w:val="0"/>
        <w:ind w:right="144"/>
        <w:jc w:val="both"/>
        <w:rPr>
          <w:b/>
          <w:u w:val="single"/>
        </w:rPr>
      </w:pPr>
      <w:bookmarkStart w:id="1" w:name="Text1"/>
      <w:r w:rsidRPr="005E4312">
        <w:rPr>
          <w:rFonts w:ascii="Arial" w:hAnsi="Arial" w:cs="Arial"/>
          <w:b/>
          <w:sz w:val="28"/>
          <w:u w:val="single"/>
        </w:rPr>
        <w:t>Rozbor přestupků zpracovaných v roce 20</w:t>
      </w:r>
      <w:r>
        <w:rPr>
          <w:rFonts w:ascii="Arial" w:hAnsi="Arial" w:cs="Arial"/>
          <w:b/>
          <w:sz w:val="28"/>
          <w:u w:val="single"/>
        </w:rPr>
        <w:t>22</w:t>
      </w:r>
      <w:r w:rsidRPr="005E4312">
        <w:rPr>
          <w:rFonts w:ascii="Arial" w:hAnsi="Arial" w:cs="Arial"/>
          <w:b/>
          <w:sz w:val="28"/>
          <w:u w:val="single"/>
        </w:rPr>
        <w:t xml:space="preserve"> na Městském úřadu Svitavy</w:t>
      </w:r>
      <w:r w:rsidRPr="005E4312">
        <w:rPr>
          <w:b/>
          <w:sz w:val="28"/>
          <w:u w:val="single"/>
        </w:rPr>
        <w:t xml:space="preserve"> </w:t>
      </w:r>
    </w:p>
    <w:p w:rsidR="00872D41" w:rsidRPr="00183AE9" w:rsidRDefault="00872D41" w:rsidP="00872D41">
      <w:pPr>
        <w:widowControl w:val="0"/>
        <w:autoSpaceDE w:val="0"/>
        <w:autoSpaceDN w:val="0"/>
        <w:adjustRightInd w:val="0"/>
        <w:ind w:right="144"/>
        <w:jc w:val="both"/>
        <w:rPr>
          <w:rFonts w:ascii="Arial" w:hAnsi="Arial" w:cs="Arial"/>
          <w:b/>
          <w:sz w:val="28"/>
          <w:szCs w:val="28"/>
          <w:u w:val="single"/>
        </w:rPr>
      </w:pPr>
    </w:p>
    <w:p w:rsidR="00872D41" w:rsidRPr="00183AE9" w:rsidRDefault="00872D41" w:rsidP="00872D41">
      <w:pPr>
        <w:widowControl w:val="0"/>
        <w:autoSpaceDE w:val="0"/>
        <w:autoSpaceDN w:val="0"/>
        <w:adjustRightInd w:val="0"/>
        <w:ind w:right="144"/>
        <w:jc w:val="both"/>
        <w:rPr>
          <w:rFonts w:ascii="Arial" w:hAnsi="Arial" w:cs="Arial"/>
          <w:b/>
        </w:rPr>
      </w:pPr>
      <w:r w:rsidRPr="00183AE9">
        <w:rPr>
          <w:rFonts w:ascii="Arial" w:hAnsi="Arial" w:cs="Arial"/>
          <w:b/>
        </w:rPr>
        <w:t>Důvodová zpráva:</w:t>
      </w:r>
    </w:p>
    <w:p w:rsidR="00872D41" w:rsidRPr="00183AE9" w:rsidRDefault="00872D41" w:rsidP="00872D41">
      <w:pPr>
        <w:widowControl w:val="0"/>
        <w:autoSpaceDE w:val="0"/>
        <w:autoSpaceDN w:val="0"/>
        <w:adjustRightInd w:val="0"/>
        <w:ind w:right="144"/>
        <w:jc w:val="both"/>
        <w:rPr>
          <w:rFonts w:ascii="Arial" w:hAnsi="Arial" w:cs="Arial"/>
          <w:b/>
          <w:sz w:val="28"/>
          <w:szCs w:val="28"/>
          <w:u w:val="single"/>
        </w:rPr>
      </w:pPr>
    </w:p>
    <w:p w:rsidR="00872D41" w:rsidRPr="00072717" w:rsidRDefault="00872D41" w:rsidP="00872D41">
      <w:pPr>
        <w:jc w:val="both"/>
        <w:rPr>
          <w:rFonts w:ascii="Arial" w:hAnsi="Arial" w:cs="Arial"/>
          <w:sz w:val="22"/>
          <w:szCs w:val="22"/>
        </w:rPr>
      </w:pPr>
      <w:bookmarkStart w:id="2" w:name="Text2"/>
      <w:r w:rsidRPr="00072717">
        <w:rPr>
          <w:rFonts w:ascii="Arial" w:hAnsi="Arial" w:cs="Arial"/>
          <w:b/>
          <w:sz w:val="22"/>
          <w:szCs w:val="22"/>
        </w:rPr>
        <w:t>Odbor dopravy</w:t>
      </w:r>
      <w:r w:rsidRPr="00072717">
        <w:rPr>
          <w:rFonts w:ascii="Arial" w:hAnsi="Arial" w:cs="Arial"/>
          <w:sz w:val="22"/>
          <w:szCs w:val="22"/>
        </w:rPr>
        <w:t xml:space="preserve"> měl v roce 2022 na úseku bezpečnosti a plynulosti provozu na pozemních komunikacích ke zpracování 13 769 přestupků. Největší zastoupení mají přestupky zaznamenané automatizovaným technickým prostředkem bez obsluhy (dále jen „ATP“) v obci Svitavy a v obci Opatov. Z radarů bylo oznámeno 12 989 přestupků a 780 případů tvořily ostatní přestupky.</w:t>
      </w:r>
    </w:p>
    <w:p w:rsidR="00872D41" w:rsidRPr="00072717" w:rsidRDefault="00872D41" w:rsidP="00872D41">
      <w:pPr>
        <w:jc w:val="both"/>
        <w:rPr>
          <w:rFonts w:ascii="Arial" w:hAnsi="Arial" w:cs="Arial"/>
          <w:sz w:val="22"/>
          <w:szCs w:val="22"/>
        </w:rPr>
      </w:pPr>
    </w:p>
    <w:p w:rsidR="00872D41" w:rsidRDefault="00872D41" w:rsidP="00872D41">
      <w:pPr>
        <w:jc w:val="both"/>
        <w:rPr>
          <w:rFonts w:ascii="Arial" w:hAnsi="Arial" w:cs="Arial"/>
          <w:b/>
          <w:bCs/>
          <w:sz w:val="22"/>
          <w:szCs w:val="22"/>
        </w:rPr>
      </w:pPr>
      <w:r w:rsidRPr="00072717">
        <w:rPr>
          <w:rFonts w:ascii="Arial" w:hAnsi="Arial" w:cs="Arial"/>
          <w:b/>
          <w:bCs/>
          <w:sz w:val="22"/>
          <w:szCs w:val="22"/>
          <w:u w:val="single"/>
        </w:rPr>
        <w:t xml:space="preserve">OBJEKTIVNÍ ODPOVĚDNOST PROVOZOVATELE </w:t>
      </w:r>
      <w:proofErr w:type="gramStart"/>
      <w:r w:rsidRPr="00072717">
        <w:rPr>
          <w:rFonts w:ascii="Arial" w:hAnsi="Arial" w:cs="Arial"/>
          <w:b/>
          <w:bCs/>
          <w:sz w:val="22"/>
          <w:szCs w:val="22"/>
          <w:u w:val="single"/>
        </w:rPr>
        <w:t xml:space="preserve">VOZIDLA </w:t>
      </w:r>
      <w:r w:rsidRPr="00072717">
        <w:rPr>
          <w:rFonts w:ascii="Arial" w:hAnsi="Arial" w:cs="Arial"/>
          <w:b/>
          <w:bCs/>
          <w:sz w:val="22"/>
          <w:szCs w:val="22"/>
        </w:rPr>
        <w:t>:</w:t>
      </w:r>
      <w:proofErr w:type="gramEnd"/>
      <w:r w:rsidRPr="00072717">
        <w:rPr>
          <w:rFonts w:ascii="Arial" w:hAnsi="Arial" w:cs="Arial"/>
          <w:b/>
          <w:bCs/>
          <w:sz w:val="22"/>
          <w:szCs w:val="22"/>
        </w:rPr>
        <w:t xml:space="preserve"> </w:t>
      </w:r>
    </w:p>
    <w:p w:rsidR="00872D41" w:rsidRPr="00072717" w:rsidRDefault="00872D41" w:rsidP="00872D41">
      <w:pPr>
        <w:jc w:val="both"/>
        <w:rPr>
          <w:rFonts w:ascii="Arial" w:hAnsi="Arial" w:cs="Arial"/>
          <w:b/>
          <w:bCs/>
          <w:sz w:val="22"/>
          <w:szCs w:val="22"/>
        </w:rPr>
      </w:pPr>
    </w:p>
    <w:p w:rsidR="00872D41" w:rsidRPr="00072717" w:rsidRDefault="00872D41" w:rsidP="00872D41">
      <w:pPr>
        <w:numPr>
          <w:ilvl w:val="0"/>
          <w:numId w:val="7"/>
        </w:numPr>
        <w:ind w:left="1094"/>
        <w:jc w:val="both"/>
        <w:rPr>
          <w:rFonts w:ascii="Arial" w:hAnsi="Arial" w:cs="Arial"/>
          <w:b/>
          <w:bCs/>
          <w:sz w:val="22"/>
          <w:szCs w:val="22"/>
        </w:rPr>
      </w:pPr>
      <w:r w:rsidRPr="00072717">
        <w:rPr>
          <w:rFonts w:ascii="Arial" w:hAnsi="Arial" w:cs="Arial"/>
          <w:b/>
          <w:bCs/>
          <w:sz w:val="22"/>
          <w:szCs w:val="22"/>
        </w:rPr>
        <w:t>bez automatizovaného technického prostředku</w:t>
      </w:r>
    </w:p>
    <w:p w:rsidR="00872D41" w:rsidRDefault="00872D41" w:rsidP="00872D41">
      <w:pPr>
        <w:ind w:left="1094"/>
        <w:jc w:val="both"/>
        <w:rPr>
          <w:rFonts w:ascii="Arial" w:hAnsi="Arial" w:cs="Arial"/>
          <w:sz w:val="22"/>
          <w:szCs w:val="22"/>
        </w:rPr>
      </w:pPr>
      <w:r w:rsidRPr="00072717">
        <w:rPr>
          <w:rFonts w:ascii="Arial" w:hAnsi="Arial" w:cs="Arial"/>
          <w:sz w:val="22"/>
          <w:szCs w:val="22"/>
        </w:rPr>
        <w:t xml:space="preserve">Jedná se o porušení povinnosti provozovatele vozidla, který odpovídá za to, aby při užití vozidla na pozemní komunikaci byly dodržovány povinnosti řidiče a pravidla provozu na pozemních komunikacích. Jde zejména o přestupky, kdy není po jejich spáchání na místě ztotožněn řidič vozidla. Celkem bylo oznámeno 181 přestupků provozovatele vozidla, což je o 52 případů méně oproti předchozímu roku. Z toho 139 přestupků se týkalo neoprávněného zastavení nebo stání a 42 přestupků se týkalo překročení nejvyšší dovolené rychlosti v obci nebo mimo obec (zjištěno ATP). Ve všech případech byla provozovateli zaslána výzva k zaplacení určené částky, která byla </w:t>
      </w:r>
      <w:proofErr w:type="gramStart"/>
      <w:r w:rsidRPr="00072717">
        <w:rPr>
          <w:rFonts w:ascii="Arial" w:hAnsi="Arial" w:cs="Arial"/>
          <w:sz w:val="22"/>
          <w:szCs w:val="22"/>
        </w:rPr>
        <w:t>ve 133</w:t>
      </w:r>
      <w:proofErr w:type="gramEnd"/>
      <w:r w:rsidRPr="00072717">
        <w:rPr>
          <w:rFonts w:ascii="Arial" w:hAnsi="Arial" w:cs="Arial"/>
          <w:sz w:val="22"/>
          <w:szCs w:val="22"/>
        </w:rPr>
        <w:t xml:space="preserve"> případech zaplacena. Ve 48 případech výzva zaplacena nebyla, a proto byl případ řešen ve správním řízení (vydáním příkazu). Pouze v 5 případech bylo oznámení odloženo, neboť neodůvodňovalo zahájení řízení. </w:t>
      </w:r>
    </w:p>
    <w:p w:rsidR="00872D41" w:rsidRPr="00072717" w:rsidRDefault="00872D41" w:rsidP="00872D41">
      <w:pPr>
        <w:ind w:left="1097"/>
        <w:jc w:val="both"/>
        <w:rPr>
          <w:rFonts w:ascii="Arial" w:hAnsi="Arial" w:cs="Arial"/>
          <w:sz w:val="22"/>
          <w:szCs w:val="22"/>
        </w:rPr>
      </w:pPr>
    </w:p>
    <w:p w:rsidR="00872D41" w:rsidRPr="00072717" w:rsidRDefault="00872D41" w:rsidP="00872D41">
      <w:pPr>
        <w:numPr>
          <w:ilvl w:val="0"/>
          <w:numId w:val="7"/>
        </w:numPr>
        <w:ind w:left="1094"/>
        <w:jc w:val="both"/>
        <w:rPr>
          <w:rFonts w:ascii="Arial" w:hAnsi="Arial" w:cs="Arial"/>
          <w:b/>
          <w:bCs/>
          <w:sz w:val="22"/>
          <w:szCs w:val="22"/>
        </w:rPr>
      </w:pPr>
      <w:r w:rsidRPr="00072717">
        <w:rPr>
          <w:rFonts w:ascii="Arial" w:hAnsi="Arial" w:cs="Arial"/>
          <w:b/>
          <w:bCs/>
          <w:sz w:val="22"/>
          <w:szCs w:val="22"/>
        </w:rPr>
        <w:t xml:space="preserve">automatizovaný technický prostředek bez obsluhy (radary) </w:t>
      </w:r>
    </w:p>
    <w:p w:rsidR="00872D41" w:rsidRPr="00072717" w:rsidRDefault="00872D41" w:rsidP="00872D41">
      <w:pPr>
        <w:ind w:left="1094"/>
        <w:jc w:val="both"/>
        <w:rPr>
          <w:rFonts w:ascii="Arial" w:hAnsi="Arial" w:cs="Arial"/>
          <w:sz w:val="22"/>
          <w:szCs w:val="22"/>
        </w:rPr>
      </w:pPr>
      <w:r w:rsidRPr="00072717">
        <w:rPr>
          <w:rFonts w:ascii="Arial" w:hAnsi="Arial" w:cs="Arial"/>
          <w:sz w:val="22"/>
          <w:szCs w:val="22"/>
        </w:rPr>
        <w:t xml:space="preserve">Do konce roku 2022 bylo oznámeno správnímu orgánu celkem 12 989 přestupků v souvislosti s úsekovým měřením rychlosti vozidel na silnici č. I/43 v obci Svitavy a v obci Opatov, což je o 1 708 přestupků méně oproti roku 2021. V obci Svitavy bylo zjištěno překročení rychlosti v 3 590 případech a v obci Opatov v 9 399 případech. </w:t>
      </w:r>
      <w:proofErr w:type="gramStart"/>
      <w:r w:rsidRPr="00072717">
        <w:rPr>
          <w:rFonts w:ascii="Arial" w:hAnsi="Arial" w:cs="Arial"/>
          <w:sz w:val="22"/>
          <w:szCs w:val="22"/>
        </w:rPr>
        <w:t>Ve</w:t>
      </w:r>
      <w:proofErr w:type="gramEnd"/>
      <w:r w:rsidRPr="00072717">
        <w:rPr>
          <w:rFonts w:ascii="Arial" w:hAnsi="Arial" w:cs="Arial"/>
          <w:sz w:val="22"/>
          <w:szCs w:val="22"/>
        </w:rPr>
        <w:t xml:space="preserve"> 11 101 případech došlo k překročení rychlosti v obci o méně než 20 km/h, v 1 859 případech k překročení rychlosti v obci o více než 20 km/h a v 29 případech se jednalo o překročení rychlosti v obci o 40 km/h a více. U většiny případů na základě vydané výzvy byla určená částka provozovatelem uhrazena. V případech, kde provozovatel vozidla svoji povinnost nesplnil a určenou částku neuhradil, bylo zahájeno správní řízení. V roce 2022 bylo provozovatelem vozidla nahlášeno celkem 178 možných řidičů. Správní orgán s těmito řidiči zahájil správní řízení. V 85 případech byl nahlášený řidič shledán vinným, v 8 případech bylo řízení odloženo z důvodu neztotožnění řidiče – cizince, ve zbylých 85 případech </w:t>
      </w:r>
      <w:r w:rsidRPr="00072717">
        <w:rPr>
          <w:rFonts w:ascii="Arial" w:hAnsi="Arial" w:cs="Arial"/>
          <w:sz w:val="22"/>
          <w:szCs w:val="22"/>
        </w:rPr>
        <w:lastRenderedPageBreak/>
        <w:t xml:space="preserve">bylo po zastavení řízení s nahlášeným řidičem zahájeno řízení s provozovatelem vozidla v rámci objektivní odpovědnosti. </w:t>
      </w:r>
    </w:p>
    <w:p w:rsidR="00872D41" w:rsidRPr="00072717" w:rsidRDefault="00872D41" w:rsidP="00872D41">
      <w:pPr>
        <w:ind w:left="1097"/>
        <w:jc w:val="both"/>
        <w:rPr>
          <w:rFonts w:ascii="Arial" w:hAnsi="Arial" w:cs="Arial"/>
          <w:sz w:val="22"/>
          <w:szCs w:val="22"/>
        </w:rPr>
      </w:pPr>
    </w:p>
    <w:p w:rsidR="00872D41" w:rsidRPr="00072717" w:rsidRDefault="00872D41" w:rsidP="00872D41">
      <w:pPr>
        <w:jc w:val="both"/>
        <w:rPr>
          <w:rFonts w:ascii="Arial" w:hAnsi="Arial" w:cs="Arial"/>
          <w:b/>
          <w:bCs/>
          <w:sz w:val="22"/>
          <w:szCs w:val="22"/>
        </w:rPr>
      </w:pPr>
      <w:r w:rsidRPr="00072717">
        <w:rPr>
          <w:rFonts w:ascii="Arial" w:hAnsi="Arial" w:cs="Arial"/>
          <w:b/>
          <w:bCs/>
          <w:sz w:val="22"/>
          <w:szCs w:val="22"/>
          <w:u w:val="single"/>
        </w:rPr>
        <w:t>DOPRAVNÍ NEHODY</w:t>
      </w:r>
      <w:r w:rsidRPr="00072717">
        <w:rPr>
          <w:rFonts w:ascii="Arial" w:hAnsi="Arial" w:cs="Arial"/>
          <w:b/>
          <w:bCs/>
          <w:sz w:val="22"/>
          <w:szCs w:val="22"/>
        </w:rPr>
        <w:t xml:space="preserve"> </w:t>
      </w:r>
    </w:p>
    <w:p w:rsidR="00872D41" w:rsidRPr="00072717" w:rsidRDefault="00872D41" w:rsidP="00872D41">
      <w:pPr>
        <w:jc w:val="both"/>
        <w:rPr>
          <w:rFonts w:ascii="Arial" w:hAnsi="Arial" w:cs="Arial"/>
          <w:sz w:val="22"/>
          <w:szCs w:val="22"/>
        </w:rPr>
      </w:pPr>
      <w:r w:rsidRPr="00072717">
        <w:rPr>
          <w:rFonts w:ascii="Arial" w:hAnsi="Arial" w:cs="Arial"/>
          <w:sz w:val="22"/>
          <w:szCs w:val="22"/>
        </w:rPr>
        <w:t xml:space="preserve">Jako každý rok mezi nejnáročnější na projednávání (dokazování) jsou přestupky týkající se dopravních nehod. V roce 2022 měl správní orgán k řešení cca 100 případů. V průběhu loňského roku probíhala uzavírka na stavbě obchvatu “I/43 Hradec nad Svitavou – Lačnov”, kdy objízdná trasa pro vozidla nad 3,5 t vedla přes obec Hradec nad Svitavou a pro vozidla do 3,5 t přes obec Vendolí. Stav vozovek na objízdných trasách bohužel nebyl nejlepší a řidiči v mnoha případech způsobili i dopravní nehody právě tím, že nepřizpůsobili svou jízdu stavebně technickému stavu pozemní komunikace nebo svou jízdu nedrželi při pravém okraji komunikace. V mnoha případech na uvedených objízdných trasách se také řidiči nevěnovali plně řízení vozidla a nedodrželi mezi sebou bezpečností vzdálenost. </w:t>
      </w:r>
    </w:p>
    <w:p w:rsidR="00872D41" w:rsidRPr="00072717" w:rsidRDefault="00872D41" w:rsidP="00872D41">
      <w:pPr>
        <w:jc w:val="both"/>
        <w:rPr>
          <w:rFonts w:ascii="Arial" w:hAnsi="Arial" w:cs="Arial"/>
          <w:sz w:val="22"/>
          <w:szCs w:val="22"/>
        </w:rPr>
      </w:pPr>
      <w:r w:rsidRPr="00072717">
        <w:rPr>
          <w:rFonts w:ascii="Arial" w:hAnsi="Arial" w:cs="Arial"/>
          <w:sz w:val="22"/>
          <w:szCs w:val="22"/>
        </w:rPr>
        <w:t xml:space="preserve">Obecnou příčinou dopravních nehod v roce 2022 bylo nedodržení bezpečnostní vzdálenosti, nepřizpůsobení jízdy stavu pozemní komunikace a také, jako v předchozích letech, nedání přednosti v jízdě (16) či dopravní nehody způsobené při předjíždění vozidel. Správnímu orgánu </w:t>
      </w:r>
      <w:proofErr w:type="gramStart"/>
      <w:r w:rsidRPr="00072717">
        <w:rPr>
          <w:rFonts w:ascii="Arial" w:hAnsi="Arial" w:cs="Arial"/>
          <w:sz w:val="22"/>
          <w:szCs w:val="22"/>
        </w:rPr>
        <w:t>bylo  v roce</w:t>
      </w:r>
      <w:proofErr w:type="gramEnd"/>
      <w:r w:rsidRPr="00072717">
        <w:rPr>
          <w:rFonts w:ascii="Arial" w:hAnsi="Arial" w:cs="Arial"/>
          <w:sz w:val="22"/>
          <w:szCs w:val="22"/>
        </w:rPr>
        <w:t xml:space="preserve"> 2022 oznámeno více dopravních nehod, kdy řidič vozidla nedal přednost cyklistovi na </w:t>
      </w:r>
      <w:proofErr w:type="spellStart"/>
      <w:r w:rsidRPr="00072717">
        <w:rPr>
          <w:rFonts w:ascii="Arial" w:hAnsi="Arial" w:cs="Arial"/>
          <w:sz w:val="22"/>
          <w:szCs w:val="22"/>
        </w:rPr>
        <w:t>elektrokole</w:t>
      </w:r>
      <w:proofErr w:type="spellEnd"/>
      <w:r w:rsidRPr="00072717">
        <w:rPr>
          <w:rFonts w:ascii="Arial" w:hAnsi="Arial" w:cs="Arial"/>
          <w:sz w:val="22"/>
          <w:szCs w:val="22"/>
        </w:rPr>
        <w:t xml:space="preserve"> a jeho argumentem bylo, že si myslel, že to stihne. Přestože </w:t>
      </w:r>
      <w:proofErr w:type="spellStart"/>
      <w:r w:rsidRPr="00072717">
        <w:rPr>
          <w:rFonts w:ascii="Arial" w:hAnsi="Arial" w:cs="Arial"/>
          <w:sz w:val="22"/>
          <w:szCs w:val="22"/>
        </w:rPr>
        <w:t>elektrokola</w:t>
      </w:r>
      <w:proofErr w:type="spellEnd"/>
      <w:r w:rsidRPr="00072717">
        <w:rPr>
          <w:rFonts w:ascii="Arial" w:hAnsi="Arial" w:cs="Arial"/>
          <w:sz w:val="22"/>
          <w:szCs w:val="22"/>
        </w:rPr>
        <w:t xml:space="preserve"> jsou na českém trhu už delší dobu, tak bohužel mnoha řidičů motorových vozidel si v dnešní době neuvědomuje, že </w:t>
      </w:r>
      <w:proofErr w:type="spellStart"/>
      <w:r w:rsidRPr="00072717">
        <w:rPr>
          <w:rFonts w:ascii="Arial" w:hAnsi="Arial" w:cs="Arial"/>
          <w:sz w:val="22"/>
          <w:szCs w:val="22"/>
        </w:rPr>
        <w:t>elektrokola</w:t>
      </w:r>
      <w:proofErr w:type="spellEnd"/>
      <w:r w:rsidRPr="00072717">
        <w:rPr>
          <w:rFonts w:ascii="Arial" w:hAnsi="Arial" w:cs="Arial"/>
          <w:sz w:val="22"/>
          <w:szCs w:val="22"/>
        </w:rPr>
        <w:t xml:space="preserve"> mohou dosáhnout rychlosti až 25km/h. U všech dopravních nehod došlo pouze k hmotné škodě na majetku bez vážného zranění osob, tudíž správní orgán žádného řidiče netrestal za přestupek dopravní nehody, při které je jinému ublíženo na zdraví spolu s uložením zákazu činnosti všech motorových vozidel. </w:t>
      </w:r>
    </w:p>
    <w:p w:rsidR="00872D41" w:rsidRPr="00072717" w:rsidRDefault="00872D41" w:rsidP="00872D41">
      <w:pPr>
        <w:jc w:val="both"/>
        <w:rPr>
          <w:rFonts w:ascii="Arial" w:hAnsi="Arial" w:cs="Arial"/>
          <w:sz w:val="22"/>
          <w:szCs w:val="22"/>
        </w:rPr>
      </w:pPr>
    </w:p>
    <w:p w:rsidR="00872D41" w:rsidRPr="00072717" w:rsidRDefault="00872D41" w:rsidP="00872D41">
      <w:pPr>
        <w:jc w:val="both"/>
        <w:rPr>
          <w:rFonts w:ascii="Arial" w:hAnsi="Arial" w:cs="Arial"/>
          <w:b/>
          <w:bCs/>
          <w:sz w:val="22"/>
          <w:szCs w:val="22"/>
          <w:u w:val="single"/>
        </w:rPr>
      </w:pPr>
      <w:r w:rsidRPr="00072717">
        <w:rPr>
          <w:rFonts w:ascii="Arial" w:hAnsi="Arial" w:cs="Arial"/>
          <w:b/>
          <w:bCs/>
          <w:sz w:val="22"/>
          <w:szCs w:val="22"/>
          <w:u w:val="single"/>
        </w:rPr>
        <w:t>OSTATNÍ OZNÁMENÉ PŘESTUPKY</w:t>
      </w:r>
    </w:p>
    <w:p w:rsidR="00872D41" w:rsidRPr="00072717" w:rsidRDefault="00872D41" w:rsidP="00872D41">
      <w:pPr>
        <w:jc w:val="both"/>
        <w:rPr>
          <w:rFonts w:ascii="Arial" w:hAnsi="Arial" w:cs="Arial"/>
          <w:sz w:val="22"/>
          <w:szCs w:val="22"/>
        </w:rPr>
      </w:pPr>
      <w:r w:rsidRPr="00072717">
        <w:rPr>
          <w:rFonts w:ascii="Arial" w:hAnsi="Arial" w:cs="Arial"/>
          <w:sz w:val="22"/>
          <w:szCs w:val="22"/>
        </w:rPr>
        <w:t xml:space="preserve">Ve 33 případech se jednalo o přestupky spočívající v řízení pod vlivem alkoholu nebo jiné návykové látky, kdy ve 2 případech byla následkem dopravní nehoda. Ve srovnání s rokem 2021 výrazně klesl počet řidičů, kteří odmítli orientační nebo odborné lékařské vyšetření, zda při řízení vozidla nejsou ovlivněni alkoholem nebo jinou návykovou látkou (10). Pět cyklistů a jeden řidič </w:t>
      </w:r>
      <w:proofErr w:type="spellStart"/>
      <w:r w:rsidRPr="00072717">
        <w:rPr>
          <w:rFonts w:ascii="Arial" w:hAnsi="Arial" w:cs="Arial"/>
          <w:sz w:val="22"/>
          <w:szCs w:val="22"/>
        </w:rPr>
        <w:t>elektrokoloběžky</w:t>
      </w:r>
      <w:proofErr w:type="spellEnd"/>
      <w:r w:rsidRPr="00072717">
        <w:rPr>
          <w:rFonts w:ascii="Arial" w:hAnsi="Arial" w:cs="Arial"/>
          <w:sz w:val="22"/>
          <w:szCs w:val="22"/>
        </w:rPr>
        <w:t xml:space="preserve"> řídili ve stavu vylučujícím způsobilost, který si přivodili požitím alkoholického nápoje (hladina alkoholu v těle vyšší než 1 promile). Dalších 20 řidičů řídilo motorové vozidlo bez příslušného řidičského oprávnění, což je nižší počet oproti roku 2021. 22 řidičů překročilo maximální dovolenou rychlost v obci nebo mimo obec (přestupek zjištěn hlídkou městské policie nebo Policie ČR), kdy v 6 případech byl za toto jednání uložen správní trest - zákaz činnosti spočívající v zákazu řízení všech motorových vozidel. </w:t>
      </w:r>
    </w:p>
    <w:p w:rsidR="00872D41" w:rsidRPr="00072717" w:rsidRDefault="00872D41" w:rsidP="00872D41">
      <w:pPr>
        <w:jc w:val="both"/>
        <w:rPr>
          <w:rFonts w:ascii="Arial" w:hAnsi="Arial" w:cs="Arial"/>
          <w:sz w:val="22"/>
          <w:szCs w:val="22"/>
        </w:rPr>
      </w:pPr>
      <w:r w:rsidRPr="00072717">
        <w:rPr>
          <w:rFonts w:ascii="Arial" w:hAnsi="Arial" w:cs="Arial"/>
          <w:sz w:val="22"/>
          <w:szCs w:val="22"/>
        </w:rPr>
        <w:t xml:space="preserve">Zvýšený nárůst přestupků (108) oproti roku 2021 (34) bylo spácháno </w:t>
      </w:r>
      <w:proofErr w:type="spellStart"/>
      <w:r w:rsidRPr="00072717">
        <w:rPr>
          <w:rFonts w:ascii="Arial" w:hAnsi="Arial" w:cs="Arial"/>
          <w:sz w:val="22"/>
          <w:szCs w:val="22"/>
        </w:rPr>
        <w:t>nízkorychlostním</w:t>
      </w:r>
      <w:proofErr w:type="spellEnd"/>
      <w:r w:rsidRPr="00072717">
        <w:rPr>
          <w:rFonts w:ascii="Arial" w:hAnsi="Arial" w:cs="Arial"/>
          <w:sz w:val="22"/>
          <w:szCs w:val="22"/>
        </w:rPr>
        <w:t xml:space="preserve"> kontrolním vážením, kdy bylo zjištěno, že vozidla překračují maximální povolenou hmotnost. Dále v 36 případech nebyly splněny povinnosti stanovené v zákoně o pojištění odpovědnosti z provozu vozidla, tedy ve 26 případech provozovatel (vlastník) motorového vozidla neměl toto vozidlo pojištěné a v 10 případech řidič motorového vozidla na výzvu příslušníků Policie ČR při silniční kontrole nepředložil zelenou kartu. V 52 případech bylo užito v provozu na pozemních komunikacích vozidlo, které nebylo technicky způsobilé k jeho provozu, zpravidla se jednalo o vozidla, která neměla platnou pravidelnou státní technickou prohlídku. Ve spojitosti s provozováním vozidla bylo oznámeno 24 přestupků s porušením přepisu změny vlastníka po převodu vlastnického práva k vozidlu, kdy tito vlastníci vozidlo prodali, ale již do 10 pracovních dnů nepožádali o zápis změny vlastníka silničního vozidla na registru vozidel. Třetím rokem byly řešeny přestupky (22), kterých se fyzická, fyzická podnikající a právnická osoba dopustila tím, že </w:t>
      </w:r>
      <w:r w:rsidRPr="00072717">
        <w:rPr>
          <w:rFonts w:ascii="Arial" w:hAnsi="Arial" w:cs="Arial"/>
          <w:color w:val="000000"/>
          <w:sz w:val="22"/>
          <w:szCs w:val="22"/>
        </w:rPr>
        <w:t xml:space="preserve">odstavila silniční vozidlo na pozemní komunikaci, které po dobu více než 6 měsíců nesmí být podle zákona o podmínkách provozu vozidel na pozemních komunikacích provozováno z důvodu marného uplynutí lhůty pro provedení pravidelné technické prohlídky nebo jeho technickou nezpůsobilost. Velkou skupinu tvoří přestupky, kde řidič vozidla např. nepředloží při silniční kontrole potřebné doklady, které má mít u sebe při řízení vozidla, není za jízdy připoután bezpečnostním pásem, drží v ruce nebo jiným způsobem telefonní přístroj nebo jiné hovorové nebo záznamové zařízení, nerespektuje dopravní značení či zvolí nesprávný způsob jízdy, apod. V mnoha případech dochází k tomu, </w:t>
      </w:r>
      <w:r w:rsidRPr="00072717">
        <w:rPr>
          <w:rFonts w:ascii="Arial" w:hAnsi="Arial" w:cs="Arial"/>
          <w:color w:val="000000"/>
          <w:sz w:val="22"/>
          <w:szCs w:val="22"/>
        </w:rPr>
        <w:lastRenderedPageBreak/>
        <w:t xml:space="preserve">že jedním oznámením podezřelé osoby (případem) dochází k souběhu spáchání několika skutkových podstat přestupků, které jsou následně řešeny ve společném řízení. </w:t>
      </w:r>
    </w:p>
    <w:p w:rsidR="00872D41" w:rsidRPr="00072717" w:rsidRDefault="00872D41" w:rsidP="00872D41">
      <w:pPr>
        <w:jc w:val="both"/>
        <w:rPr>
          <w:rFonts w:ascii="Arial" w:hAnsi="Arial" w:cs="Arial"/>
          <w:sz w:val="22"/>
          <w:szCs w:val="22"/>
        </w:rPr>
      </w:pPr>
      <w:r w:rsidRPr="00072717">
        <w:rPr>
          <w:rFonts w:ascii="Arial" w:hAnsi="Arial" w:cs="Arial"/>
          <w:sz w:val="22"/>
          <w:szCs w:val="22"/>
        </w:rPr>
        <w:t>   – Proti rozhodnutí správního orgánu bylo v roce 2022 podáno méně odvolání než v roce 2021, a to 10 odvolání, kdy  odvolací orgán v 1 případě rozhodnutí správního orgánu potvrdil, v 1 případě rozhodnutí zrušil a řízení zastavil, v 1 případě rozhodnutí zrušil a vrátil k novému projednání a ve zbylých případech doposud nebylo o odvolání rozhodnuto.</w:t>
      </w:r>
    </w:p>
    <w:p w:rsidR="00872D41" w:rsidRPr="00072717" w:rsidRDefault="00872D41" w:rsidP="00872D41">
      <w:pPr>
        <w:ind w:right="51"/>
        <w:jc w:val="both"/>
        <w:rPr>
          <w:rFonts w:ascii="Arial" w:hAnsi="Arial" w:cs="Arial"/>
          <w:sz w:val="22"/>
          <w:szCs w:val="22"/>
        </w:rPr>
      </w:pPr>
      <w:r w:rsidRPr="00072717">
        <w:rPr>
          <w:rFonts w:ascii="Arial" w:hAnsi="Arial" w:cs="Arial"/>
          <w:sz w:val="22"/>
          <w:szCs w:val="22"/>
        </w:rPr>
        <w:t>Stejně jako v minulých letech, i v roce 2022 se stále objevuje mnoho případů, kdy dochází k zneužívání práva a k procesním obstrukcím ze strany účastníků přestupkového řízení či případně jejich zmocněnců – stále se jedná o protahování průběhu správního řízení s účelem překročení prekluzivní lhůty a hledání způsobů, jak se vyvinit z protiprávního jednání.</w:t>
      </w:r>
    </w:p>
    <w:p w:rsidR="00872D41" w:rsidRPr="00072717" w:rsidRDefault="00872D41" w:rsidP="00872D41">
      <w:pPr>
        <w:ind w:right="51"/>
        <w:jc w:val="both"/>
        <w:rPr>
          <w:rFonts w:ascii="Arial" w:hAnsi="Arial" w:cs="Arial"/>
          <w:sz w:val="22"/>
          <w:szCs w:val="22"/>
        </w:rPr>
      </w:pPr>
    </w:p>
    <w:p w:rsidR="00872D41" w:rsidRPr="00072717" w:rsidRDefault="00872D41" w:rsidP="00872D41">
      <w:pPr>
        <w:jc w:val="both"/>
        <w:rPr>
          <w:rFonts w:ascii="Arial" w:hAnsi="Arial" w:cs="Arial"/>
          <w:b/>
          <w:bCs/>
          <w:sz w:val="22"/>
          <w:szCs w:val="22"/>
          <w:u w:val="single"/>
        </w:rPr>
      </w:pPr>
      <w:r w:rsidRPr="00072717">
        <w:rPr>
          <w:rFonts w:ascii="Arial" w:hAnsi="Arial" w:cs="Arial"/>
          <w:b/>
          <w:bCs/>
          <w:sz w:val="22"/>
          <w:szCs w:val="22"/>
          <w:u w:val="single"/>
        </w:rPr>
        <w:t xml:space="preserve">PŘIDĚLENÉ BODY ZA PŘESTUPKOVÉ JEDNÁNÍ </w:t>
      </w:r>
    </w:p>
    <w:p w:rsidR="00872D41" w:rsidRPr="00072717" w:rsidRDefault="00872D41" w:rsidP="00872D41">
      <w:pPr>
        <w:jc w:val="both"/>
        <w:rPr>
          <w:rFonts w:ascii="Arial" w:hAnsi="Arial" w:cs="Arial"/>
          <w:sz w:val="22"/>
          <w:szCs w:val="22"/>
        </w:rPr>
      </w:pPr>
      <w:r w:rsidRPr="00072717">
        <w:rPr>
          <w:rFonts w:ascii="Arial" w:hAnsi="Arial" w:cs="Arial"/>
          <w:sz w:val="22"/>
          <w:szCs w:val="22"/>
        </w:rPr>
        <w:t>Z celkového počtu evidovaných řidičů (23 136) bylo 1 212 řidičům za jejich přestupkové jednání započítán stanovený počet bodů v registru řidičů. Nejvíce řidičů (633) získalo 2 body.  21 řidičů získalo 12 bodů a tím na rok přišlo o řidičské oprávnění.</w:t>
      </w:r>
    </w:p>
    <w:p w:rsidR="00872D41" w:rsidRPr="00072717" w:rsidRDefault="00872D41" w:rsidP="00872D41">
      <w:pPr>
        <w:jc w:val="both"/>
        <w:rPr>
          <w:rFonts w:ascii="Arial" w:hAnsi="Arial" w:cs="Arial"/>
          <w:sz w:val="22"/>
          <w:szCs w:val="22"/>
        </w:rPr>
      </w:pPr>
    </w:p>
    <w:p w:rsidR="00872D41" w:rsidRPr="00072717" w:rsidRDefault="00872D41" w:rsidP="00872D41">
      <w:pPr>
        <w:jc w:val="both"/>
        <w:rPr>
          <w:rFonts w:ascii="Arial" w:hAnsi="Arial" w:cs="Arial"/>
          <w:b/>
          <w:bCs/>
          <w:sz w:val="22"/>
          <w:szCs w:val="22"/>
          <w:u w:val="single"/>
        </w:rPr>
      </w:pPr>
      <w:r w:rsidRPr="00072717">
        <w:rPr>
          <w:rFonts w:ascii="Arial" w:hAnsi="Arial" w:cs="Arial"/>
          <w:b/>
          <w:bCs/>
          <w:sz w:val="22"/>
          <w:szCs w:val="22"/>
          <w:u w:val="single"/>
        </w:rPr>
        <w:t>ZADRŽENÉ ŘIDIČSKÉ PRŮKAZY</w:t>
      </w:r>
    </w:p>
    <w:p w:rsidR="00872D41" w:rsidRPr="00072717" w:rsidRDefault="00872D41" w:rsidP="00872D41">
      <w:pPr>
        <w:jc w:val="both"/>
        <w:rPr>
          <w:rFonts w:ascii="Arial" w:hAnsi="Arial" w:cs="Arial"/>
          <w:sz w:val="22"/>
          <w:szCs w:val="22"/>
        </w:rPr>
      </w:pPr>
      <w:r w:rsidRPr="00072717">
        <w:rPr>
          <w:rFonts w:ascii="Arial" w:hAnsi="Arial" w:cs="Arial"/>
          <w:sz w:val="22"/>
          <w:szCs w:val="22"/>
        </w:rPr>
        <w:t xml:space="preserve">V 53 případech byl Policií ČR zadržen řidičský průkaz. Správní orgán v 6 případech řidičský průkaz zaslal na Ministerstvo dopravy České republiky, neboť držitelem řidičského průkazu byl cizinec, ve 4 případech zadržený řidičský průkaz postoupil obci s rozšířenou působností, kde držitel řidičského průkazu měl trvalý pobyt, jelikož držitel řidičského průkazu měl povinnost z důvodu zákazu činnosti spočívající v zákazu řízení všech motorových vozidel odevzdat tento řidičský průkaz a správní orgán v těchto věcech nemohl zahájit řízení o zadržení řidičského průkazu, a ve 43 případech správní orgán s držiteli řidičských průkazů zahájil řízení o zadržení řidičského průkazu. Po zahájení řízení musel správní orgán ve 2 případech řízení zastavit, jelikož nebyly prokázány důvody, pro které byl řidičský průkaz zadržen, např. po provedeném odběru krve nebyly prokázány v krvi stopy jiné návykové látky, tudíž důvody pro zadržení řidičského průkazu odpadly a řízení bylo zastaveno.  </w:t>
      </w:r>
    </w:p>
    <w:p w:rsidR="00872D41" w:rsidRPr="00072717" w:rsidRDefault="00872D41" w:rsidP="00872D41">
      <w:pPr>
        <w:jc w:val="both"/>
        <w:rPr>
          <w:rFonts w:ascii="Arial" w:hAnsi="Arial" w:cs="Arial"/>
          <w:sz w:val="22"/>
          <w:szCs w:val="22"/>
        </w:rPr>
      </w:pPr>
    </w:p>
    <w:p w:rsidR="00872D41" w:rsidRPr="00072717" w:rsidRDefault="00872D41" w:rsidP="00872D41">
      <w:pPr>
        <w:jc w:val="both"/>
        <w:rPr>
          <w:rFonts w:ascii="Arial" w:hAnsi="Arial" w:cs="Arial"/>
          <w:b/>
          <w:bCs/>
          <w:sz w:val="22"/>
          <w:szCs w:val="22"/>
          <w:u w:val="single"/>
        </w:rPr>
      </w:pPr>
      <w:r w:rsidRPr="00072717">
        <w:rPr>
          <w:rFonts w:ascii="Arial" w:hAnsi="Arial" w:cs="Arial"/>
          <w:b/>
          <w:bCs/>
          <w:sz w:val="22"/>
          <w:szCs w:val="22"/>
          <w:u w:val="single"/>
        </w:rPr>
        <w:t>ZDRAVOTNÍ ZPŮSOBILOST K ŘÍZENÍ MOTOROVÝCH VOZIDEL</w:t>
      </w:r>
    </w:p>
    <w:p w:rsidR="00872D41" w:rsidRPr="00072717" w:rsidRDefault="00872D41" w:rsidP="00872D41">
      <w:pPr>
        <w:jc w:val="both"/>
        <w:rPr>
          <w:rFonts w:ascii="Arial" w:hAnsi="Arial" w:cs="Arial"/>
          <w:sz w:val="22"/>
          <w:szCs w:val="22"/>
        </w:rPr>
      </w:pPr>
      <w:r w:rsidRPr="00072717">
        <w:rPr>
          <w:rFonts w:ascii="Arial" w:hAnsi="Arial" w:cs="Arial"/>
          <w:sz w:val="22"/>
          <w:szCs w:val="22"/>
        </w:rPr>
        <w:t>V roce 2022 bylo zahájeno 48 správních řízení o odejmutí řidičského oprávnění z důvodu ztráty zdravotní způsobilosti k řízení motorových vozidel. Ve 23 případech bylo řízení zastaveno a 8 řidičům bylo řidičské oprávnění odňato. Ve zbylých případech správní řízení stále probíhá.</w:t>
      </w:r>
    </w:p>
    <w:p w:rsidR="00872D41" w:rsidRPr="00072717" w:rsidRDefault="00872D41" w:rsidP="00872D41">
      <w:pPr>
        <w:jc w:val="both"/>
        <w:rPr>
          <w:rFonts w:ascii="Arial" w:hAnsi="Arial" w:cs="Arial"/>
          <w:sz w:val="22"/>
          <w:szCs w:val="22"/>
        </w:rPr>
      </w:pPr>
    </w:p>
    <w:p w:rsidR="00872D41" w:rsidRPr="00072717" w:rsidRDefault="00872D41" w:rsidP="00872D41">
      <w:pPr>
        <w:jc w:val="both"/>
        <w:rPr>
          <w:rFonts w:ascii="Arial" w:hAnsi="Arial" w:cs="Arial"/>
          <w:b/>
          <w:bCs/>
          <w:sz w:val="22"/>
          <w:szCs w:val="22"/>
          <w:u w:val="single"/>
        </w:rPr>
      </w:pPr>
      <w:r w:rsidRPr="00072717">
        <w:rPr>
          <w:rFonts w:ascii="Arial" w:hAnsi="Arial" w:cs="Arial"/>
          <w:b/>
          <w:bCs/>
          <w:sz w:val="22"/>
          <w:szCs w:val="22"/>
          <w:u w:val="single"/>
        </w:rPr>
        <w:t>UPUŠTĚNÍ OD ZBYTKU SPRÁVNÍHO TRESTU A VRÁCENÍ ŘIDIČSKÉHO OPRÁVNĚNÍ</w:t>
      </w:r>
    </w:p>
    <w:p w:rsidR="00872D41" w:rsidRPr="00072717" w:rsidRDefault="00872D41" w:rsidP="00872D41">
      <w:pPr>
        <w:jc w:val="both"/>
        <w:rPr>
          <w:rFonts w:ascii="Arial" w:hAnsi="Arial" w:cs="Arial"/>
          <w:sz w:val="22"/>
          <w:szCs w:val="22"/>
        </w:rPr>
      </w:pPr>
      <w:r w:rsidRPr="00072717">
        <w:rPr>
          <w:rFonts w:ascii="Arial" w:hAnsi="Arial" w:cs="Arial"/>
          <w:sz w:val="22"/>
          <w:szCs w:val="22"/>
        </w:rPr>
        <w:t xml:space="preserve">Ve všech případech (18) bylo vyhověno žádosti o upuštění zbytku zákazu činnosti spočívající v zákazu řízení motorových vozidel, v jednom případě žadatel nesplňoval podmínku pro upuštění zbytku zákazu činnosti spočívající v zákazu řízení motorových vozidel. V 58 případech bylo vyhověno žádosti o vrácení řidičského oprávnění po uplynutí správního trestu a v 8 případech bylo vyhověno žádosti o vrácení řidičského oprávnění po „vybodování“.  </w:t>
      </w:r>
    </w:p>
    <w:p w:rsidR="00872D41" w:rsidRPr="00072717" w:rsidRDefault="00872D41" w:rsidP="00872D41">
      <w:pPr>
        <w:jc w:val="both"/>
        <w:rPr>
          <w:rFonts w:ascii="Arial" w:hAnsi="Arial" w:cs="Arial"/>
          <w:b/>
          <w:bCs/>
          <w:sz w:val="22"/>
          <w:szCs w:val="22"/>
          <w:u w:val="single"/>
        </w:rPr>
      </w:pPr>
    </w:p>
    <w:p w:rsidR="00872D41" w:rsidRPr="00072717" w:rsidRDefault="00872D41" w:rsidP="00872D41">
      <w:pPr>
        <w:jc w:val="both"/>
        <w:rPr>
          <w:rFonts w:ascii="Arial" w:hAnsi="Arial" w:cs="Arial"/>
          <w:b/>
          <w:bCs/>
          <w:sz w:val="22"/>
          <w:szCs w:val="22"/>
          <w:u w:val="single"/>
        </w:rPr>
      </w:pPr>
      <w:r w:rsidRPr="00072717">
        <w:rPr>
          <w:rFonts w:ascii="Arial" w:hAnsi="Arial" w:cs="Arial"/>
          <w:b/>
          <w:bCs/>
          <w:sz w:val="22"/>
          <w:szCs w:val="22"/>
          <w:u w:val="single"/>
        </w:rPr>
        <w:t>PŘIBRÁNÍ SOUDNÍHO ZNALCE</w:t>
      </w:r>
    </w:p>
    <w:p w:rsidR="00872D41" w:rsidRPr="00072717" w:rsidRDefault="00872D41" w:rsidP="00872D41">
      <w:pPr>
        <w:jc w:val="both"/>
        <w:rPr>
          <w:rFonts w:ascii="Arial" w:hAnsi="Arial" w:cs="Arial"/>
          <w:sz w:val="22"/>
          <w:szCs w:val="22"/>
        </w:rPr>
      </w:pPr>
      <w:r w:rsidRPr="00072717">
        <w:rPr>
          <w:rFonts w:ascii="Arial" w:hAnsi="Arial" w:cs="Arial"/>
          <w:sz w:val="22"/>
          <w:szCs w:val="22"/>
        </w:rPr>
        <w:t>V 9 případech byl ke stanovení přesné výše omamné látky v těle pachatele přizván soudní znalec z oboru toxikologie a všechny tyto případy řešil správní orgán, jelikož z žádného znaleckého posudku nevyplynulo, že by se jednalo o přečin ohrožení pod vlivem návykové látky podle § 274 trestního zákoníku. V průběhu roku 2022 nebylo potřeba přibrat znalce v oblasti řešení průběhu dopravních nehod.</w:t>
      </w:r>
    </w:p>
    <w:p w:rsidR="00872D41" w:rsidRPr="00072717" w:rsidRDefault="00872D41" w:rsidP="00872D41">
      <w:pPr>
        <w:jc w:val="both"/>
        <w:rPr>
          <w:rFonts w:ascii="Arial" w:hAnsi="Arial" w:cs="Arial"/>
          <w:sz w:val="22"/>
          <w:szCs w:val="22"/>
        </w:rPr>
      </w:pPr>
    </w:p>
    <w:p w:rsidR="00872D41" w:rsidRPr="00072717" w:rsidRDefault="00872D41" w:rsidP="00872D41">
      <w:pPr>
        <w:jc w:val="both"/>
        <w:rPr>
          <w:rFonts w:ascii="Arial" w:hAnsi="Arial" w:cs="Arial"/>
          <w:b/>
          <w:bCs/>
          <w:sz w:val="22"/>
          <w:szCs w:val="22"/>
          <w:u w:val="single"/>
        </w:rPr>
      </w:pPr>
      <w:r w:rsidRPr="00072717">
        <w:rPr>
          <w:rFonts w:ascii="Arial" w:hAnsi="Arial" w:cs="Arial"/>
          <w:b/>
          <w:bCs/>
          <w:sz w:val="22"/>
          <w:szCs w:val="22"/>
          <w:u w:val="single"/>
        </w:rPr>
        <w:t>POKUTY ZA PŘESTUPKOVÉ JEDNÁNÍ</w:t>
      </w:r>
    </w:p>
    <w:p w:rsidR="00872D41" w:rsidRPr="00072717" w:rsidRDefault="00872D41" w:rsidP="00872D41">
      <w:pPr>
        <w:jc w:val="both"/>
        <w:rPr>
          <w:rFonts w:ascii="Arial" w:hAnsi="Arial" w:cs="Arial"/>
          <w:sz w:val="22"/>
          <w:szCs w:val="22"/>
        </w:rPr>
      </w:pPr>
      <w:r w:rsidRPr="00072717">
        <w:rPr>
          <w:rFonts w:ascii="Arial" w:hAnsi="Arial" w:cs="Arial"/>
          <w:sz w:val="22"/>
          <w:szCs w:val="22"/>
        </w:rPr>
        <w:t xml:space="preserve">V roce 2022 správní orgán vystavil platební předpisy ve výši 14 115 550 Kč z toho 11 221 300 Kč týkajících se přestupků zjištěných pomocí ATP.  Zaplaceno bylo 12 292 950 Kč, z toho 9 689 013 Kč za ATP. Některé platby byly provedeny na začátku roku 2023. Nezaplacené pokuty byly předány k vymáhání v exekučním řízení.  </w:t>
      </w:r>
    </w:p>
    <w:p w:rsidR="00872D41" w:rsidRPr="00072717" w:rsidRDefault="00872D41" w:rsidP="00872D41">
      <w:pPr>
        <w:ind w:firstLine="540"/>
        <w:jc w:val="both"/>
        <w:rPr>
          <w:rFonts w:ascii="Arial" w:hAnsi="Arial" w:cs="Arial"/>
          <w:sz w:val="22"/>
          <w:szCs w:val="22"/>
        </w:rPr>
      </w:pPr>
    </w:p>
    <w:p w:rsidR="00872D41" w:rsidRPr="00072717" w:rsidRDefault="00872D41" w:rsidP="00872D41">
      <w:pPr>
        <w:ind w:firstLine="567"/>
        <w:jc w:val="both"/>
        <w:rPr>
          <w:rFonts w:ascii="Arial" w:hAnsi="Arial" w:cs="Arial"/>
          <w:sz w:val="22"/>
          <w:szCs w:val="22"/>
        </w:rPr>
      </w:pPr>
    </w:p>
    <w:p w:rsidR="00872D41" w:rsidRPr="00072717" w:rsidRDefault="00872D41" w:rsidP="00872D41">
      <w:pPr>
        <w:jc w:val="both"/>
        <w:rPr>
          <w:rFonts w:ascii="Arial" w:hAnsi="Arial" w:cs="Arial"/>
          <w:sz w:val="22"/>
          <w:szCs w:val="22"/>
        </w:rPr>
      </w:pPr>
      <w:r w:rsidRPr="00072717">
        <w:rPr>
          <w:rFonts w:ascii="Arial" w:hAnsi="Arial" w:cs="Arial"/>
          <w:b/>
          <w:sz w:val="22"/>
          <w:szCs w:val="22"/>
        </w:rPr>
        <w:t>Odboru správních činností</w:t>
      </w:r>
      <w:r w:rsidRPr="00072717">
        <w:rPr>
          <w:rFonts w:ascii="Arial" w:hAnsi="Arial" w:cs="Arial"/>
          <w:sz w:val="22"/>
          <w:szCs w:val="22"/>
        </w:rPr>
        <w:t xml:space="preserve"> – oddělení přestupkovému jsou v převážné většině přestupky oznamovány Obvodním oddělením Policie ČR ve Svitavách, Oddělením obecné kriminality SKPV Policie ČR ve Svitavách, dále Městskou policií Svitavy a Okresním soudem ve Svitavách. V roce 2022 se správní orgán zabýval jak případy, které byly v tomto roce oznámeny, tak případy, které přecházely z roku 2021. Jednalo se o věci, které byly doručeny správnímu orgánu ke konci roku, anebo o ty, u kterých nebylo ukončeno řízení, zahájené v roce 2021. V mnoha věcech dochází k tomu, že jedním oznámením podezřelé osoby (případem) dochází k souběhu spáchání několika skutkových podstat přestupků, které jsou následně řešeny ve společném řízení, nicméně s každou skutkovou podstatou je nutné se vypořádat a řádně odůvodnit zvolený postup.</w:t>
      </w:r>
    </w:p>
    <w:p w:rsidR="00872D41" w:rsidRPr="00072717" w:rsidRDefault="00872D41" w:rsidP="00872D41">
      <w:pPr>
        <w:jc w:val="both"/>
        <w:rPr>
          <w:rFonts w:ascii="Arial" w:hAnsi="Arial" w:cs="Arial"/>
          <w:sz w:val="22"/>
          <w:szCs w:val="22"/>
        </w:rPr>
      </w:pPr>
    </w:p>
    <w:p w:rsidR="00872D41" w:rsidRPr="00D37A98" w:rsidRDefault="00872D41" w:rsidP="00872D41">
      <w:pPr>
        <w:jc w:val="both"/>
        <w:rPr>
          <w:rFonts w:ascii="Arial" w:hAnsi="Arial" w:cs="Arial"/>
          <w:b/>
          <w:sz w:val="22"/>
          <w:szCs w:val="22"/>
          <w:u w:val="single"/>
        </w:rPr>
      </w:pPr>
      <w:r w:rsidRPr="00D37A98">
        <w:rPr>
          <w:rFonts w:ascii="Arial" w:hAnsi="Arial" w:cs="Arial"/>
          <w:b/>
          <w:sz w:val="22"/>
          <w:szCs w:val="22"/>
          <w:u w:val="single"/>
        </w:rPr>
        <w:t>PŘESTUPKY PROTI OBČANSKÉMU SOUŽITÍ, MAJETKU A VEŘEJNÉMU POŘÁDKU</w:t>
      </w:r>
    </w:p>
    <w:p w:rsidR="00872D41" w:rsidRPr="00072717" w:rsidRDefault="00872D41" w:rsidP="00872D41">
      <w:pPr>
        <w:jc w:val="both"/>
        <w:rPr>
          <w:rFonts w:ascii="Arial" w:hAnsi="Arial" w:cs="Arial"/>
          <w:sz w:val="22"/>
          <w:szCs w:val="22"/>
        </w:rPr>
      </w:pPr>
      <w:r w:rsidRPr="00072717">
        <w:rPr>
          <w:rFonts w:ascii="Arial" w:hAnsi="Arial" w:cs="Arial"/>
          <w:sz w:val="22"/>
          <w:szCs w:val="22"/>
        </w:rPr>
        <w:t xml:space="preserve">Stejně jako v letech předchozích tvořily opět největší skupinu z projednávaných věcí přestupky proti občanskému soužití, a to 331 přestupků. Jedná se zejména o ublížení na zdraví, vyhrožování újmou na zdraví, schválnosti, jiná hrubá jednání nebo hrubé urážky na cti a to jak mezi rodinnými příslušníky, tak i o neshody a narušené vztahy mezi sousedy, známými anebo i cizími lidmi, apod. </w:t>
      </w:r>
    </w:p>
    <w:p w:rsidR="00872D41" w:rsidRPr="00072717" w:rsidRDefault="00872D41" w:rsidP="00872D41">
      <w:pPr>
        <w:jc w:val="both"/>
        <w:rPr>
          <w:rFonts w:ascii="Arial" w:hAnsi="Arial" w:cs="Arial"/>
          <w:sz w:val="22"/>
          <w:szCs w:val="22"/>
        </w:rPr>
      </w:pPr>
      <w:r w:rsidRPr="00072717">
        <w:rPr>
          <w:rFonts w:ascii="Arial" w:hAnsi="Arial" w:cs="Arial"/>
          <w:sz w:val="22"/>
          <w:szCs w:val="22"/>
        </w:rPr>
        <w:t xml:space="preserve">Další větší skupinu tvoří přestupky proti majetku, kterých bylo projednáno 116. Převážnou většinu představují krádeže v obchodech, podvody, dále pak úmyslná poškozování nebo zničení věcí, popř. přisvojení si věci nálezem. Velmi významnou skutečností, která se projevuje na stále se zvyšujícím počtu přestupků proti majetku, je zcela jistě zvýšení hranice z 5.000 Kč na 10.000 Kč, která je rozhodující pro to, zda byl spáchán přestupek, či trestný čin, ke které došlo od </w:t>
      </w:r>
      <w:proofErr w:type="gramStart"/>
      <w:r w:rsidRPr="00072717">
        <w:rPr>
          <w:rFonts w:ascii="Arial" w:hAnsi="Arial" w:cs="Arial"/>
          <w:sz w:val="22"/>
          <w:szCs w:val="22"/>
        </w:rPr>
        <w:t>01.10.2020</w:t>
      </w:r>
      <w:proofErr w:type="gramEnd"/>
      <w:r w:rsidRPr="00072717">
        <w:rPr>
          <w:rFonts w:ascii="Arial" w:hAnsi="Arial" w:cs="Arial"/>
          <w:sz w:val="22"/>
          <w:szCs w:val="22"/>
        </w:rPr>
        <w:t>.</w:t>
      </w:r>
    </w:p>
    <w:p w:rsidR="00872D41" w:rsidRPr="00072717" w:rsidRDefault="00872D41" w:rsidP="00872D41">
      <w:pPr>
        <w:jc w:val="both"/>
        <w:rPr>
          <w:rFonts w:ascii="Arial" w:hAnsi="Arial" w:cs="Arial"/>
          <w:sz w:val="22"/>
          <w:szCs w:val="22"/>
        </w:rPr>
      </w:pPr>
      <w:r w:rsidRPr="00072717">
        <w:rPr>
          <w:rFonts w:ascii="Arial" w:hAnsi="Arial" w:cs="Arial"/>
          <w:sz w:val="22"/>
          <w:szCs w:val="22"/>
        </w:rPr>
        <w:t xml:space="preserve">Proti veřejnému pořádku bylo řešeno 37 přestupků. Převažují přestupky neuposlechnutí výzvy úřední osoby při výkonu její pravomoci (příslušníků policie ČR anebo strážníků městské policie), dále se jednalo o znevážení postavení úřední osoby při výkonu její pravomoci, porušení nočního klidu, maření vykázání ze společného obydlí nebo vzbuzení veřejného pohoršení.  </w:t>
      </w:r>
    </w:p>
    <w:p w:rsidR="00872D41" w:rsidRPr="00072717" w:rsidRDefault="00872D41" w:rsidP="00872D41">
      <w:pPr>
        <w:jc w:val="both"/>
        <w:rPr>
          <w:rFonts w:ascii="Arial" w:hAnsi="Arial" w:cs="Arial"/>
          <w:sz w:val="22"/>
          <w:szCs w:val="22"/>
        </w:rPr>
      </w:pPr>
    </w:p>
    <w:p w:rsidR="00872D41" w:rsidRPr="00D37A98" w:rsidRDefault="00872D41" w:rsidP="00872D41">
      <w:pPr>
        <w:jc w:val="both"/>
        <w:rPr>
          <w:rFonts w:ascii="Arial" w:hAnsi="Arial" w:cs="Arial"/>
          <w:b/>
          <w:sz w:val="22"/>
          <w:szCs w:val="22"/>
          <w:u w:val="single"/>
        </w:rPr>
      </w:pPr>
      <w:r w:rsidRPr="00D37A98">
        <w:rPr>
          <w:rFonts w:ascii="Arial" w:hAnsi="Arial" w:cs="Arial"/>
          <w:b/>
          <w:sz w:val="22"/>
          <w:szCs w:val="22"/>
          <w:u w:val="single"/>
        </w:rPr>
        <w:t xml:space="preserve">PŘESTUPKY NA ÚSEKU OCHRANY ZDRAVÍ </w:t>
      </w:r>
    </w:p>
    <w:p w:rsidR="00872D41" w:rsidRPr="00072717" w:rsidRDefault="00872D41" w:rsidP="00872D41">
      <w:pPr>
        <w:jc w:val="both"/>
        <w:rPr>
          <w:rFonts w:ascii="Arial" w:hAnsi="Arial" w:cs="Arial"/>
          <w:snapToGrid w:val="0"/>
          <w:sz w:val="22"/>
          <w:szCs w:val="22"/>
        </w:rPr>
      </w:pPr>
      <w:r w:rsidRPr="00072717">
        <w:rPr>
          <w:rFonts w:ascii="Arial" w:hAnsi="Arial" w:cs="Arial"/>
          <w:sz w:val="22"/>
          <w:szCs w:val="22"/>
        </w:rPr>
        <w:t xml:space="preserve">Porušení zákona </w:t>
      </w:r>
      <w:r w:rsidRPr="00072717">
        <w:rPr>
          <w:rFonts w:ascii="Arial" w:hAnsi="Arial" w:cs="Arial"/>
          <w:snapToGrid w:val="0"/>
          <w:sz w:val="22"/>
          <w:szCs w:val="22"/>
        </w:rPr>
        <w:t xml:space="preserve">o ochraně zdraví před škodlivými účinky návykových látek bylo řešeno ve 12 případech. Jeden případ se týkal vstupu pod vlivem alkoholu nebo jiné návykové látky na místo, kam je vstup zakázán, ve 4 případech se jednalo o podání alkoholu osobám mladším 18 let a v 7 případech o odmítnutí podrobit se orientačnímu vyšetření, kdy již toto není řešeno jako přestupek proti veřejnému pořádku neuposlechnutí výzvy úřední osoby při výkonu její pravomoci. </w:t>
      </w:r>
    </w:p>
    <w:p w:rsidR="00872D41" w:rsidRDefault="00872D41" w:rsidP="00872D41">
      <w:pPr>
        <w:jc w:val="both"/>
        <w:rPr>
          <w:rFonts w:ascii="Arial" w:hAnsi="Arial" w:cs="Arial"/>
          <w:snapToGrid w:val="0"/>
          <w:sz w:val="22"/>
          <w:szCs w:val="22"/>
        </w:rPr>
      </w:pPr>
    </w:p>
    <w:p w:rsidR="00872D41" w:rsidRPr="00E629EF" w:rsidRDefault="00872D41" w:rsidP="00872D41">
      <w:pPr>
        <w:jc w:val="both"/>
        <w:rPr>
          <w:rFonts w:ascii="Arial" w:hAnsi="Arial" w:cs="Arial"/>
          <w:b/>
          <w:snapToGrid w:val="0"/>
          <w:sz w:val="22"/>
          <w:szCs w:val="22"/>
          <w:u w:val="single"/>
        </w:rPr>
      </w:pPr>
      <w:r w:rsidRPr="00E629EF">
        <w:rPr>
          <w:rFonts w:ascii="Arial" w:hAnsi="Arial" w:cs="Arial"/>
          <w:b/>
          <w:snapToGrid w:val="0"/>
          <w:sz w:val="22"/>
          <w:szCs w:val="22"/>
          <w:u w:val="single"/>
        </w:rPr>
        <w:t>PŘESTUPKY DLE ZÁKONA O NÁVYKOVÝCH LÁTKÁCH</w:t>
      </w:r>
    </w:p>
    <w:p w:rsidR="00872D41" w:rsidRPr="00072717" w:rsidRDefault="00872D41" w:rsidP="00872D41">
      <w:pPr>
        <w:jc w:val="both"/>
        <w:rPr>
          <w:rFonts w:ascii="Arial" w:hAnsi="Arial" w:cs="Arial"/>
          <w:sz w:val="22"/>
          <w:szCs w:val="22"/>
        </w:rPr>
      </w:pPr>
      <w:r w:rsidRPr="00072717">
        <w:rPr>
          <w:rFonts w:ascii="Arial" w:hAnsi="Arial" w:cs="Arial"/>
          <w:snapToGrid w:val="0"/>
          <w:sz w:val="22"/>
          <w:szCs w:val="22"/>
        </w:rPr>
        <w:t xml:space="preserve">Dále bylo </w:t>
      </w:r>
      <w:r w:rsidRPr="00072717">
        <w:rPr>
          <w:rFonts w:ascii="Arial" w:hAnsi="Arial" w:cs="Arial"/>
          <w:sz w:val="22"/>
          <w:szCs w:val="22"/>
        </w:rPr>
        <w:t xml:space="preserve">řešeno 10 případů porušení zákona o návykových látkách. Jednalo se o pěstování rostliny obsahující návykovou látku nebo přechovávání návykové látky pro svoji potřebu, přičemž se jednalo buď o </w:t>
      </w:r>
      <w:proofErr w:type="gramStart"/>
      <w:r w:rsidRPr="00072717">
        <w:rPr>
          <w:rFonts w:ascii="Arial" w:hAnsi="Arial" w:cs="Arial"/>
          <w:sz w:val="22"/>
          <w:szCs w:val="22"/>
        </w:rPr>
        <w:t>marihuanu nebo</w:t>
      </w:r>
      <w:proofErr w:type="gramEnd"/>
      <w:r w:rsidRPr="00072717">
        <w:rPr>
          <w:rFonts w:ascii="Arial" w:hAnsi="Arial" w:cs="Arial"/>
          <w:sz w:val="22"/>
          <w:szCs w:val="22"/>
        </w:rPr>
        <w:t xml:space="preserve"> pervitin. Při rozhodování o těchto přestupcích byly kromě pokut uloženy i správní tresty propadnutí věci. </w:t>
      </w:r>
    </w:p>
    <w:p w:rsidR="00872D41" w:rsidRPr="00072717" w:rsidRDefault="00872D41" w:rsidP="00872D41">
      <w:pPr>
        <w:jc w:val="both"/>
        <w:rPr>
          <w:rFonts w:ascii="Arial" w:hAnsi="Arial" w:cs="Arial"/>
          <w:sz w:val="22"/>
          <w:szCs w:val="22"/>
        </w:rPr>
      </w:pPr>
    </w:p>
    <w:p w:rsidR="00872D41" w:rsidRPr="00D37A98" w:rsidRDefault="00872D41" w:rsidP="00872D41">
      <w:pPr>
        <w:jc w:val="both"/>
        <w:rPr>
          <w:rFonts w:ascii="Arial" w:hAnsi="Arial" w:cs="Arial"/>
          <w:b/>
          <w:sz w:val="22"/>
          <w:szCs w:val="22"/>
          <w:u w:val="single"/>
        </w:rPr>
      </w:pPr>
      <w:r w:rsidRPr="00D37A98">
        <w:rPr>
          <w:rFonts w:ascii="Arial" w:hAnsi="Arial" w:cs="Arial"/>
          <w:b/>
          <w:sz w:val="22"/>
          <w:szCs w:val="22"/>
          <w:u w:val="single"/>
        </w:rPr>
        <w:t>DALŠÍ PŘESTUPKY</w:t>
      </w:r>
    </w:p>
    <w:p w:rsidR="00872D41" w:rsidRPr="00072717" w:rsidRDefault="00872D41" w:rsidP="00872D41">
      <w:pPr>
        <w:jc w:val="both"/>
        <w:rPr>
          <w:rFonts w:ascii="Arial" w:hAnsi="Arial" w:cs="Arial"/>
          <w:sz w:val="22"/>
          <w:szCs w:val="22"/>
        </w:rPr>
      </w:pPr>
      <w:r w:rsidRPr="00072717">
        <w:rPr>
          <w:rFonts w:ascii="Arial" w:hAnsi="Arial" w:cs="Arial"/>
          <w:sz w:val="22"/>
          <w:szCs w:val="22"/>
        </w:rPr>
        <w:t>Dále bylo řešeno 15 přestupků na úseku zbraní a střeliva. Jednalo se zejména o nepodrobení se lékařské prohlídce, střílení ze zbraně, viditelné nošení zbraně na veřejnosti a manipulace na veřejnosti pod vlivem návykové látky, popř. o neohlášení nabytí vlastnictví ke zbrani nebo převod vlastnictví ke zbrani. Při rozhodování o těchto přestupcích byly kromě pokut uloženy i správní tresty propadnutí věci.</w:t>
      </w:r>
    </w:p>
    <w:p w:rsidR="00872D41" w:rsidRPr="00072717" w:rsidRDefault="00872D41" w:rsidP="00872D41">
      <w:pPr>
        <w:jc w:val="both"/>
        <w:rPr>
          <w:rFonts w:ascii="Arial" w:hAnsi="Arial" w:cs="Arial"/>
          <w:bCs/>
          <w:sz w:val="22"/>
          <w:szCs w:val="22"/>
        </w:rPr>
      </w:pPr>
      <w:r w:rsidRPr="00072717">
        <w:rPr>
          <w:rFonts w:ascii="Arial" w:hAnsi="Arial" w:cs="Arial"/>
          <w:sz w:val="22"/>
          <w:szCs w:val="22"/>
        </w:rPr>
        <w:t>Porušení vyhlášek města bylo řešeno v 7 případech, které se týkaly parkování na zelených nebo nezpevněných plochách nebo konzumace alkoholu na místech zakázaných, kdy v těchto případech byl kromě pokuty uložen i správní trest propadnutí věci.</w:t>
      </w:r>
      <w:r w:rsidRPr="00072717">
        <w:rPr>
          <w:rFonts w:ascii="Arial" w:hAnsi="Arial" w:cs="Arial"/>
          <w:bCs/>
          <w:sz w:val="22"/>
          <w:szCs w:val="22"/>
        </w:rPr>
        <w:t xml:space="preserve">   </w:t>
      </w:r>
    </w:p>
    <w:p w:rsidR="00872D41" w:rsidRPr="00072717" w:rsidRDefault="00872D41" w:rsidP="00872D41">
      <w:pPr>
        <w:jc w:val="both"/>
        <w:rPr>
          <w:rFonts w:ascii="Arial" w:hAnsi="Arial" w:cs="Arial"/>
          <w:bCs/>
          <w:sz w:val="22"/>
          <w:szCs w:val="22"/>
        </w:rPr>
      </w:pPr>
      <w:r w:rsidRPr="00072717">
        <w:rPr>
          <w:rFonts w:ascii="Arial" w:hAnsi="Arial" w:cs="Arial"/>
          <w:bCs/>
          <w:sz w:val="22"/>
          <w:szCs w:val="22"/>
        </w:rPr>
        <w:lastRenderedPageBreak/>
        <w:t xml:space="preserve">Správní orgán dále projednával 3 případy, ve </w:t>
      </w:r>
      <w:r w:rsidRPr="00072717">
        <w:rPr>
          <w:rFonts w:ascii="Arial" w:hAnsi="Arial" w:cs="Arial"/>
          <w:sz w:val="22"/>
          <w:szCs w:val="22"/>
        </w:rPr>
        <w:t xml:space="preserve">kterých došlo k porušení zákona o občanských průkazech a které buď nebyly vyřízeny úsekem správních činností příkazem na </w:t>
      </w:r>
      <w:proofErr w:type="gramStart"/>
      <w:r w:rsidRPr="00072717">
        <w:rPr>
          <w:rFonts w:ascii="Arial" w:hAnsi="Arial" w:cs="Arial"/>
          <w:sz w:val="22"/>
          <w:szCs w:val="22"/>
        </w:rPr>
        <w:t>místě nebo</w:t>
      </w:r>
      <w:proofErr w:type="gramEnd"/>
      <w:r w:rsidRPr="00072717">
        <w:rPr>
          <w:rFonts w:ascii="Arial" w:hAnsi="Arial" w:cs="Arial"/>
          <w:sz w:val="22"/>
          <w:szCs w:val="22"/>
        </w:rPr>
        <w:t xml:space="preserve"> byly předány k projednání policií.</w:t>
      </w:r>
    </w:p>
    <w:p w:rsidR="00872D41" w:rsidRPr="00072717" w:rsidRDefault="00872D41" w:rsidP="00872D41">
      <w:pPr>
        <w:jc w:val="both"/>
        <w:rPr>
          <w:rFonts w:ascii="Arial" w:hAnsi="Arial" w:cs="Arial"/>
          <w:sz w:val="22"/>
          <w:szCs w:val="22"/>
        </w:rPr>
      </w:pPr>
    </w:p>
    <w:p w:rsidR="00872D41" w:rsidRPr="00072717" w:rsidRDefault="00872D41" w:rsidP="00872D41">
      <w:pPr>
        <w:jc w:val="both"/>
        <w:rPr>
          <w:rFonts w:ascii="Arial" w:hAnsi="Arial" w:cs="Arial"/>
          <w:sz w:val="22"/>
          <w:szCs w:val="22"/>
        </w:rPr>
      </w:pPr>
      <w:r w:rsidRPr="00072717">
        <w:rPr>
          <w:rFonts w:ascii="Arial" w:hAnsi="Arial" w:cs="Arial"/>
          <w:sz w:val="22"/>
          <w:szCs w:val="22"/>
        </w:rPr>
        <w:t>Co se týká porušení zákona o střetu zájmů, tak oddělení přestupkové řešilo 15 oznámení. Podle tohoto zákona musí v průběhu vykonávání své funkce veřejný funkcionář formou čestného prohlášení podávat na elektronických formulářích různé druhy oznámení, které jsou dostupné na webových stránkách Ministerstva spravedlnosti ČR. Tyto přestupky nelze vyřešit ve zkráceném řízení příkazem na místě a příkazem, a proto správní orgán zahajoval v těchto věcech řízení.</w:t>
      </w:r>
    </w:p>
    <w:p w:rsidR="00872D41" w:rsidRPr="00072717" w:rsidRDefault="00872D41" w:rsidP="00872D41">
      <w:pPr>
        <w:jc w:val="both"/>
        <w:rPr>
          <w:rFonts w:ascii="Arial" w:hAnsi="Arial" w:cs="Arial"/>
          <w:sz w:val="22"/>
          <w:szCs w:val="22"/>
        </w:rPr>
      </w:pPr>
    </w:p>
    <w:p w:rsidR="00872D41" w:rsidRPr="00072717" w:rsidRDefault="00872D41" w:rsidP="00872D41">
      <w:pPr>
        <w:jc w:val="both"/>
        <w:rPr>
          <w:rFonts w:ascii="Arial" w:hAnsi="Arial" w:cs="Arial"/>
          <w:snapToGrid w:val="0"/>
          <w:sz w:val="22"/>
          <w:szCs w:val="22"/>
        </w:rPr>
      </w:pPr>
      <w:r w:rsidRPr="00072717">
        <w:rPr>
          <w:rFonts w:ascii="Arial" w:hAnsi="Arial" w:cs="Arial"/>
          <w:snapToGrid w:val="0"/>
          <w:sz w:val="22"/>
          <w:szCs w:val="22"/>
        </w:rPr>
        <w:t>Ohledně projednávaných přestupků došlo ve všech oblastech k mírnému nárůstu počtu přestupků oproti roku předchozímu.</w:t>
      </w:r>
    </w:p>
    <w:p w:rsidR="00872D41" w:rsidRPr="00072717" w:rsidRDefault="00872D41" w:rsidP="00872D41">
      <w:pPr>
        <w:jc w:val="both"/>
        <w:rPr>
          <w:rFonts w:ascii="Arial" w:hAnsi="Arial" w:cs="Arial"/>
          <w:snapToGrid w:val="0"/>
          <w:sz w:val="22"/>
          <w:szCs w:val="22"/>
        </w:rPr>
      </w:pPr>
    </w:p>
    <w:p w:rsidR="00872D41" w:rsidRPr="00072717" w:rsidRDefault="00872D41" w:rsidP="00872D41">
      <w:pPr>
        <w:jc w:val="both"/>
        <w:rPr>
          <w:rFonts w:ascii="Arial" w:hAnsi="Arial" w:cs="Arial"/>
          <w:snapToGrid w:val="0"/>
          <w:sz w:val="22"/>
          <w:szCs w:val="22"/>
        </w:rPr>
      </w:pPr>
      <w:r w:rsidRPr="00072717">
        <w:rPr>
          <w:rFonts w:ascii="Arial" w:hAnsi="Arial" w:cs="Arial"/>
          <w:snapToGrid w:val="0"/>
          <w:sz w:val="22"/>
          <w:szCs w:val="22"/>
        </w:rPr>
        <w:t xml:space="preserve">Poprvé správní orgán řešil i přestupky podle zákona o matrikách, kdy byly oznámeny </w:t>
      </w:r>
      <w:r w:rsidRPr="00072717">
        <w:rPr>
          <w:rFonts w:ascii="Arial" w:hAnsi="Arial" w:cs="Arial"/>
          <w:snapToGrid w:val="0"/>
          <w:sz w:val="22"/>
          <w:szCs w:val="22"/>
        </w:rPr>
        <w:br/>
        <w:t xml:space="preserve">4 případy, kdy osoby při policejní kontrole úmyslně neužívaly </w:t>
      </w:r>
      <w:r w:rsidRPr="00072717">
        <w:rPr>
          <w:rFonts w:ascii="Arial" w:hAnsi="Arial" w:cs="Arial"/>
          <w:color w:val="000000"/>
          <w:sz w:val="22"/>
          <w:szCs w:val="22"/>
          <w:shd w:val="clear" w:color="auto" w:fill="FFFFFF"/>
        </w:rPr>
        <w:t xml:space="preserve">jméno a příjmení, která jsou uvedena na matričním dokladu. </w:t>
      </w:r>
    </w:p>
    <w:p w:rsidR="00872D41" w:rsidRPr="00072717" w:rsidRDefault="00872D41" w:rsidP="00872D41">
      <w:pPr>
        <w:jc w:val="both"/>
        <w:rPr>
          <w:rFonts w:ascii="Arial" w:hAnsi="Arial" w:cs="Arial"/>
          <w:sz w:val="22"/>
          <w:szCs w:val="22"/>
        </w:rPr>
      </w:pPr>
    </w:p>
    <w:p w:rsidR="00872D41" w:rsidRPr="00072717" w:rsidRDefault="00872D41" w:rsidP="00872D41">
      <w:pPr>
        <w:jc w:val="both"/>
        <w:rPr>
          <w:rFonts w:ascii="Arial" w:hAnsi="Arial" w:cs="Arial"/>
          <w:sz w:val="22"/>
          <w:szCs w:val="22"/>
        </w:rPr>
      </w:pPr>
      <w:r w:rsidRPr="00072717">
        <w:rPr>
          <w:rFonts w:ascii="Arial" w:hAnsi="Arial" w:cs="Arial"/>
          <w:sz w:val="22"/>
          <w:szCs w:val="22"/>
        </w:rPr>
        <w:t xml:space="preserve">Z celkového počtu oznámených přestupků proti občanskému soužití vykazovalo 50 přestupků některé znaky jevu tzv. domácího násilí. Jedná se o ty přestupky, které byly spáchány mezi osobami blízkými, osobami žijícími ve společném obydlí nebo osobami, které byly v minulosti osobami blízkými (např. manžel/manželka, druh/družka). Ve 28 případech se jednalo o fyzické napadení, verbální napadení bylo evidováno rovněž ve 28 případech (jednalo se buď o samostatné napadení verbální anebo o souběh s fyzickým napadením). </w:t>
      </w:r>
      <w:r w:rsidRPr="00072717">
        <w:rPr>
          <w:rFonts w:ascii="Arial" w:hAnsi="Arial" w:cs="Arial"/>
          <w:sz w:val="22"/>
          <w:szCs w:val="22"/>
        </w:rPr>
        <w:br/>
        <w:t xml:space="preserve">V 16 případech došlo ke spáchání těchto přestupků v rodině, kde je dítě. </w:t>
      </w:r>
    </w:p>
    <w:p w:rsidR="00872D41" w:rsidRPr="00072717" w:rsidRDefault="00872D41" w:rsidP="00872D41">
      <w:pPr>
        <w:jc w:val="both"/>
        <w:rPr>
          <w:rFonts w:ascii="Arial" w:hAnsi="Arial" w:cs="Arial"/>
          <w:sz w:val="22"/>
          <w:szCs w:val="22"/>
        </w:rPr>
      </w:pPr>
    </w:p>
    <w:p w:rsidR="00872D41" w:rsidRPr="00072717" w:rsidRDefault="00872D41" w:rsidP="00872D41">
      <w:pPr>
        <w:jc w:val="both"/>
        <w:rPr>
          <w:rFonts w:ascii="Arial" w:hAnsi="Arial" w:cs="Arial"/>
          <w:sz w:val="22"/>
          <w:szCs w:val="22"/>
        </w:rPr>
      </w:pPr>
      <w:r w:rsidRPr="00072717">
        <w:rPr>
          <w:rFonts w:ascii="Arial" w:hAnsi="Arial" w:cs="Arial"/>
          <w:sz w:val="22"/>
          <w:szCs w:val="22"/>
        </w:rPr>
        <w:t xml:space="preserve">Počet přestupků spáchaných osobami mladistvými se oproti roku 2021 rovněž zvýšil, a to na 14. Jednalo se o neuposlechnutí výzvy, urážku na cti, vyhrožování újmou na zdraví, ve dvou případech jiné hrubé jednání, dále krádež, ve 4 případech poškození věci, dále neoprávněné užívání majetku, přechovávání návykové látky pro svoji potřebu a ve dvou případech porušení zákona o matrikách, jménu a příjmení. </w:t>
      </w:r>
    </w:p>
    <w:p w:rsidR="00872D41" w:rsidRPr="00072717" w:rsidRDefault="00872D41" w:rsidP="00872D41">
      <w:pPr>
        <w:jc w:val="both"/>
        <w:rPr>
          <w:rFonts w:ascii="Arial" w:hAnsi="Arial" w:cs="Arial"/>
          <w:sz w:val="22"/>
          <w:szCs w:val="22"/>
        </w:rPr>
      </w:pPr>
    </w:p>
    <w:p w:rsidR="00872D41" w:rsidRPr="00072717" w:rsidRDefault="00872D41" w:rsidP="00872D41">
      <w:pPr>
        <w:jc w:val="both"/>
        <w:rPr>
          <w:rFonts w:ascii="Arial" w:hAnsi="Arial" w:cs="Arial"/>
          <w:sz w:val="22"/>
          <w:szCs w:val="22"/>
        </w:rPr>
      </w:pPr>
      <w:r w:rsidRPr="00072717">
        <w:rPr>
          <w:rFonts w:ascii="Arial" w:hAnsi="Arial" w:cs="Arial"/>
          <w:sz w:val="22"/>
          <w:szCs w:val="22"/>
        </w:rPr>
        <w:t xml:space="preserve">Zvláštní kategorií přestupků, týkající se procesu projednávání, jsou přestupky ublížení na cti a dále přestupky proti občanskému soužití a proti majetku, které byly spáchané mezi osobami blízkými. Řízení o těchto přestupcích lze zahájit anebo v již zahájeném řízení pokračovat pouze se souhlasem osoby přímo postižené spácháním přestupku. Tuto osobu musí správní orgán poučit a stanovit jí dle zákona lhůtu nejméně 30 dnů k možnosti podat souhlas s projednáním přestupku. Pokud je souhlas podán, správní orgán řízení zahájí, případně v již zahájeném řízení pokračuje. Pokud souhlas podán není, je věc odložena usnesením, nebo řízení usnesením zastaveno. Těchto případů bylo v roce 2022 evidováno 67. </w:t>
      </w:r>
    </w:p>
    <w:p w:rsidR="00872D41" w:rsidRPr="00072717" w:rsidRDefault="00872D41" w:rsidP="00872D41">
      <w:pPr>
        <w:jc w:val="both"/>
        <w:rPr>
          <w:rFonts w:ascii="Arial" w:hAnsi="Arial" w:cs="Arial"/>
          <w:sz w:val="22"/>
          <w:szCs w:val="22"/>
        </w:rPr>
      </w:pPr>
    </w:p>
    <w:p w:rsidR="00872D41" w:rsidRPr="00072717" w:rsidRDefault="00872D41" w:rsidP="00872D41">
      <w:pPr>
        <w:jc w:val="both"/>
        <w:rPr>
          <w:rFonts w:ascii="Arial" w:hAnsi="Arial" w:cs="Arial"/>
          <w:sz w:val="22"/>
          <w:szCs w:val="22"/>
        </w:rPr>
      </w:pPr>
      <w:r w:rsidRPr="00072717">
        <w:rPr>
          <w:rFonts w:ascii="Arial" w:hAnsi="Arial" w:cs="Arial"/>
          <w:sz w:val="22"/>
          <w:szCs w:val="22"/>
        </w:rPr>
        <w:t xml:space="preserve">Správní orgány mají povinnost zapisovat vybrané druhy přestupků do evidence přestupků, kterou spravuje Rejstřík trestů. Povinnost zápisu provádí správní orgán obecního úřadu rovněž v případech, kdy o uložení pokuty příkazem na místě rozhodovala obecní policie. Ta sdělí obecnímu úřadu údaje potřebné pro provedení zápisu do pěti pracovních dnů ode dne uložení pokuty příkazem na místě. Oddělení přestupkové v roce 2022 zaznamenalo do této evidence 152 zápisů, kdy byla obviněná osoba uznána vinnou správním orgánem a 56 zápisů, kdy byla městskou policií uložena pokuta. Celkem tedy bylo provedeno 208 zápisů, což je o 45 zápisů více než v roce 2021.   </w:t>
      </w:r>
    </w:p>
    <w:p w:rsidR="00872D41" w:rsidRPr="00072717" w:rsidRDefault="00872D41" w:rsidP="00872D41">
      <w:pPr>
        <w:jc w:val="both"/>
        <w:rPr>
          <w:rFonts w:ascii="Arial" w:hAnsi="Arial" w:cs="Arial"/>
          <w:sz w:val="22"/>
          <w:szCs w:val="22"/>
        </w:rPr>
      </w:pPr>
    </w:p>
    <w:p w:rsidR="00872D41" w:rsidRPr="00072717" w:rsidRDefault="00872D41" w:rsidP="00872D41">
      <w:pPr>
        <w:jc w:val="both"/>
        <w:rPr>
          <w:rFonts w:ascii="Arial" w:hAnsi="Arial" w:cs="Arial"/>
          <w:sz w:val="22"/>
          <w:szCs w:val="22"/>
        </w:rPr>
      </w:pPr>
      <w:r w:rsidRPr="00072717">
        <w:rPr>
          <w:rFonts w:ascii="Arial" w:hAnsi="Arial" w:cs="Arial"/>
          <w:sz w:val="22"/>
          <w:szCs w:val="22"/>
        </w:rPr>
        <w:t xml:space="preserve">I když existuje evidence přestupků, tak stále oddělení přestupkové vypracovává zprávy o občanech na základě žádostí orgánů činných v trestním řízení, občanskoprávním řízení, orgánů státní správy a organizací, stanoví-li tak obecně závazný předpis. Těchto zpráv bylo v roce 2022 vyhotoveno přibližně 405, což je rovněž mírný nárůst oproti roku 2021.   </w:t>
      </w:r>
    </w:p>
    <w:p w:rsidR="00872D41" w:rsidRPr="00072717" w:rsidRDefault="00872D41" w:rsidP="00872D41">
      <w:pPr>
        <w:jc w:val="both"/>
        <w:rPr>
          <w:rFonts w:ascii="Arial" w:hAnsi="Arial" w:cs="Arial"/>
          <w:sz w:val="22"/>
          <w:szCs w:val="22"/>
        </w:rPr>
      </w:pPr>
    </w:p>
    <w:p w:rsidR="00872D41" w:rsidRPr="00072717" w:rsidRDefault="00872D41" w:rsidP="00872D41">
      <w:pPr>
        <w:jc w:val="both"/>
        <w:rPr>
          <w:rFonts w:ascii="Arial" w:hAnsi="Arial" w:cs="Arial"/>
          <w:sz w:val="22"/>
          <w:szCs w:val="22"/>
        </w:rPr>
      </w:pPr>
      <w:r w:rsidRPr="00072717">
        <w:rPr>
          <w:rFonts w:ascii="Arial" w:hAnsi="Arial" w:cs="Arial"/>
          <w:sz w:val="22"/>
          <w:szCs w:val="22"/>
        </w:rPr>
        <w:lastRenderedPageBreak/>
        <w:t xml:space="preserve">Na základě uzavřených veřejnoprávních smluv projednal odbor správních činností, oddělení přestupkové, pro obce našeho územního obvodu v roce 2022 celkem 72 případů, za které bylo, v souladu se smlouvami, obcím vyfakturováno 216.000 Kč. Od </w:t>
      </w:r>
      <w:proofErr w:type="gramStart"/>
      <w:r w:rsidRPr="00072717">
        <w:rPr>
          <w:rFonts w:ascii="Arial" w:hAnsi="Arial" w:cs="Arial"/>
          <w:sz w:val="22"/>
          <w:szCs w:val="22"/>
        </w:rPr>
        <w:t>01.01.2022</w:t>
      </w:r>
      <w:proofErr w:type="gramEnd"/>
      <w:r w:rsidRPr="00072717">
        <w:rPr>
          <w:rFonts w:ascii="Arial" w:hAnsi="Arial" w:cs="Arial"/>
          <w:sz w:val="22"/>
          <w:szCs w:val="22"/>
        </w:rPr>
        <w:t xml:space="preserve"> byla ukončena smlouva s obcí Brněnec, která si od tohoto data přestupky projednává sama. </w:t>
      </w:r>
      <w:r w:rsidRPr="00072717">
        <w:rPr>
          <w:rFonts w:ascii="Arial" w:hAnsi="Arial" w:cs="Arial"/>
          <w:sz w:val="22"/>
          <w:szCs w:val="22"/>
        </w:rPr>
        <w:br/>
        <w:t xml:space="preserve">K </w:t>
      </w:r>
      <w:proofErr w:type="gramStart"/>
      <w:r w:rsidRPr="00072717">
        <w:rPr>
          <w:rFonts w:ascii="Arial" w:hAnsi="Arial" w:cs="Arial"/>
          <w:sz w:val="22"/>
          <w:szCs w:val="22"/>
        </w:rPr>
        <w:t>31.12.2022</w:t>
      </w:r>
      <w:proofErr w:type="gramEnd"/>
      <w:r w:rsidRPr="00072717">
        <w:rPr>
          <w:rFonts w:ascii="Arial" w:hAnsi="Arial" w:cs="Arial"/>
          <w:sz w:val="22"/>
          <w:szCs w:val="22"/>
        </w:rPr>
        <w:t xml:space="preserve"> byly tedy uzavřeny smlouvy s 23 obcemi z 27 možných. </w:t>
      </w:r>
    </w:p>
    <w:p w:rsidR="00872D41" w:rsidRPr="00072717" w:rsidRDefault="00872D41" w:rsidP="00872D41">
      <w:pPr>
        <w:jc w:val="both"/>
        <w:rPr>
          <w:rFonts w:ascii="Arial" w:hAnsi="Arial" w:cs="Arial"/>
          <w:sz w:val="22"/>
          <w:szCs w:val="22"/>
        </w:rPr>
      </w:pPr>
    </w:p>
    <w:p w:rsidR="00872D41" w:rsidRPr="00072717" w:rsidRDefault="00872D41" w:rsidP="00872D41">
      <w:pPr>
        <w:jc w:val="both"/>
        <w:rPr>
          <w:rFonts w:ascii="Arial" w:hAnsi="Arial" w:cs="Arial"/>
          <w:sz w:val="22"/>
          <w:szCs w:val="22"/>
        </w:rPr>
      </w:pPr>
      <w:r w:rsidRPr="00072717">
        <w:rPr>
          <w:rFonts w:ascii="Arial" w:hAnsi="Arial" w:cs="Arial"/>
          <w:sz w:val="22"/>
          <w:szCs w:val="22"/>
        </w:rPr>
        <w:t xml:space="preserve">V roce 2022 vydalo oddělení přestupkové 104 rozhodnutí, ve kterých byli přestupci uznáni vinnými ze spáchání přestupků. Z tohoto počtu jich bylo 51 ve zkráceném řízení („Příkaz“). Proti rozhodnutím byla podána 4 odvolání. Ve třech případech byla odvolání zamítnuta a rozhodnutí správního orgánu potvrzena, v jednom případě, i přesto, že nebyly shledány nedostatky, byl změněn druh správního trestu z pokuty na napomenutí, ve zbytku bylo rozhodnutí správního orgánu potvrzeno. Příkazem na místě bylo vyřízeno 86 případů. Na pokutách bylo oddělením přestupkovým uloženo celkem 482.500 Kč, zaplaceno bylo </w:t>
      </w:r>
      <w:r w:rsidRPr="00072717">
        <w:rPr>
          <w:rFonts w:ascii="Arial" w:hAnsi="Arial" w:cs="Arial"/>
          <w:sz w:val="22"/>
          <w:szCs w:val="22"/>
        </w:rPr>
        <w:br/>
        <w:t>204.500 Kč, k exekučnímu řízení byly předány přestupky za 278.000 Kč.</w:t>
      </w:r>
    </w:p>
    <w:p w:rsidR="00872D41" w:rsidRPr="00072717" w:rsidRDefault="00872D41" w:rsidP="00872D41">
      <w:pPr>
        <w:jc w:val="both"/>
        <w:rPr>
          <w:rFonts w:ascii="Arial" w:hAnsi="Arial" w:cs="Arial"/>
          <w:sz w:val="22"/>
          <w:szCs w:val="22"/>
        </w:rPr>
      </w:pPr>
      <w:r w:rsidRPr="00072717">
        <w:rPr>
          <w:rFonts w:ascii="Arial" w:hAnsi="Arial" w:cs="Arial"/>
          <w:sz w:val="22"/>
          <w:szCs w:val="22"/>
        </w:rPr>
        <w:t xml:space="preserve">Oddělení přestupkové dále vydalo 55 usnesení o zastavení řízení, zejména z toho důvodu, že obviněným nebylo spáchání přestupků prokázáno a 104 usnesení o odložení, zejména z toho důvodu, že osoby přímo postižené spácháním přestupků nedaly souhlasy se zahájením řízení nebo došlá oznámení neodůvodňovaly zahájení řízení o přestupcích.   </w:t>
      </w:r>
    </w:p>
    <w:p w:rsidR="00872D41" w:rsidRPr="00072717" w:rsidRDefault="00872D41" w:rsidP="00872D41">
      <w:pPr>
        <w:jc w:val="both"/>
        <w:rPr>
          <w:rFonts w:ascii="Arial" w:hAnsi="Arial" w:cs="Arial"/>
          <w:sz w:val="22"/>
          <w:szCs w:val="22"/>
        </w:rPr>
      </w:pPr>
    </w:p>
    <w:p w:rsidR="00872D41" w:rsidRPr="00072717" w:rsidRDefault="00872D41" w:rsidP="00872D41">
      <w:pPr>
        <w:jc w:val="both"/>
        <w:rPr>
          <w:rFonts w:ascii="Arial" w:hAnsi="Arial" w:cs="Arial"/>
          <w:sz w:val="22"/>
          <w:szCs w:val="22"/>
        </w:rPr>
      </w:pPr>
      <w:r w:rsidRPr="00072717">
        <w:rPr>
          <w:rFonts w:ascii="Arial" w:hAnsi="Arial" w:cs="Arial"/>
          <w:sz w:val="22"/>
          <w:szCs w:val="22"/>
        </w:rPr>
        <w:t xml:space="preserve">I když se </w:t>
      </w:r>
      <w:r w:rsidRPr="00072717">
        <w:rPr>
          <w:rFonts w:ascii="Arial" w:hAnsi="Arial" w:cs="Arial"/>
          <w:snapToGrid w:val="0"/>
          <w:sz w:val="22"/>
          <w:szCs w:val="22"/>
        </w:rPr>
        <w:t>správní orgán snaží věci řešit ve zkráceném řízení, kde není třeba nařizovat ústní jednání, v mnoha případech to není ihned možné, neboť</w:t>
      </w:r>
      <w:r w:rsidRPr="00072717">
        <w:rPr>
          <w:rFonts w:ascii="Arial" w:hAnsi="Arial" w:cs="Arial"/>
          <w:sz w:val="22"/>
          <w:szCs w:val="22"/>
        </w:rPr>
        <w:t xml:space="preserve"> spisový materiál obvykle neobsahuje podepsaná vysvětlení od zúčastněných osob, a proto musí správní orgány předvolávat osoby k sepsání tohoto vysvětlení, aby nashromáždil dostatečné podklady pro řešení dané věci. Oddělení přestupkové v roce 2022 sepsalo 209 podání vysvětlení, kdy nejprve se správní orgán snaží osobu kontaktovat telefonicky a pokud to není účinné, tak zvolí písemné předvolání. </w:t>
      </w:r>
    </w:p>
    <w:p w:rsidR="00872D41" w:rsidRPr="00072717" w:rsidRDefault="00872D41" w:rsidP="00872D41">
      <w:pPr>
        <w:jc w:val="both"/>
        <w:rPr>
          <w:rFonts w:ascii="Arial" w:hAnsi="Arial" w:cs="Arial"/>
          <w:sz w:val="22"/>
          <w:szCs w:val="22"/>
        </w:rPr>
      </w:pPr>
    </w:p>
    <w:p w:rsidR="00872D41" w:rsidRPr="00072717" w:rsidRDefault="00872D41" w:rsidP="00872D41">
      <w:pPr>
        <w:jc w:val="both"/>
        <w:rPr>
          <w:rFonts w:ascii="Arial" w:hAnsi="Arial" w:cs="Arial"/>
          <w:sz w:val="22"/>
          <w:szCs w:val="22"/>
        </w:rPr>
      </w:pPr>
      <w:r w:rsidRPr="00072717">
        <w:rPr>
          <w:rFonts w:ascii="Arial" w:hAnsi="Arial" w:cs="Arial"/>
          <w:sz w:val="22"/>
          <w:szCs w:val="22"/>
        </w:rPr>
        <w:t xml:space="preserve">Stále se zvyšuje administrativní náročnost a složitost řízení. Mnoho řízení je vedeno v tzv. společném řízení, ať již z toho důvodu, že se jeden podezřelý dopustil více přestupků anebo se projednávají přestupky více podezřelých, které spolu souvisejí. Rovněž se zvyšuje i počet svědků, kdy je běžné, že v rámci jednoho řízení je vyslýcháno více jak 5 svědků a přibývá i svědků, kteří jsou mladší 15 let a se kterými musí správní orgán pracovat zvlášť šetrně. V případě, že svědci na předvolání nereagují a nedostavují se, tak je nutné je předvolávat opětovně a případně zjišťovat jejich skutečný pobyt, což v případě, kdy mají trvalý pobyt na ohlašovně úřadu, je složité a v krajních případech přistupovat i k předvádění těchto osob, což řízení rovněž prodlužuje. Jen pro informaci uvádíme, že o předvedení bylo žádáno ve 22 případech. Přibývá přestupků, ve kterých se buď v pozici </w:t>
      </w:r>
      <w:proofErr w:type="gramStart"/>
      <w:r w:rsidRPr="00072717">
        <w:rPr>
          <w:rFonts w:ascii="Arial" w:hAnsi="Arial" w:cs="Arial"/>
          <w:sz w:val="22"/>
          <w:szCs w:val="22"/>
        </w:rPr>
        <w:t>účastníka nebo</w:t>
      </w:r>
      <w:proofErr w:type="gramEnd"/>
      <w:r w:rsidRPr="00072717">
        <w:rPr>
          <w:rFonts w:ascii="Arial" w:hAnsi="Arial" w:cs="Arial"/>
          <w:sz w:val="22"/>
          <w:szCs w:val="22"/>
        </w:rPr>
        <w:t xml:space="preserve"> svědka objevuje osoba omezená ve svéprávnosti nebo osoba, která neovládá jednací jazyk a je nutné jí ustanovit tlumočníka.</w:t>
      </w:r>
    </w:p>
    <w:p w:rsidR="00872D41" w:rsidRPr="00072717" w:rsidRDefault="00872D41" w:rsidP="00872D41">
      <w:pPr>
        <w:jc w:val="both"/>
        <w:rPr>
          <w:rFonts w:ascii="Arial" w:hAnsi="Arial" w:cs="Arial"/>
          <w:sz w:val="22"/>
          <w:szCs w:val="22"/>
        </w:rPr>
      </w:pPr>
    </w:p>
    <w:p w:rsidR="00872D41" w:rsidRPr="00072717" w:rsidRDefault="00872D41" w:rsidP="00872D41">
      <w:pPr>
        <w:jc w:val="both"/>
        <w:rPr>
          <w:rFonts w:ascii="Arial" w:hAnsi="Arial" w:cs="Arial"/>
          <w:sz w:val="22"/>
          <w:szCs w:val="22"/>
        </w:rPr>
      </w:pPr>
      <w:r w:rsidRPr="00072717">
        <w:rPr>
          <w:rFonts w:ascii="Arial" w:hAnsi="Arial" w:cs="Arial"/>
          <w:sz w:val="22"/>
          <w:szCs w:val="22"/>
        </w:rPr>
        <w:t xml:space="preserve">Již druhým rokem se jako poškozený, kterému byla přestupkem způsobena škoda, poučují i zdravotní pojišťovny, které se ve většině případů připojují s požadavkem na náhradu škody za vynaložené náklady na hrazené služby poskytnuté zraněnému pojištěnci. V takových případech je nutné přestupek vždy řešit v rámci ústního jednání, což jeho vyřízení značně prodlužuje, nebo vynaložit veškeré úsilí při komunikaci s podezřelým, který pokud je ochoten škodu zdravotní pojišťovně nahradit, což následně musí správnímu orgánu doložit, tak lze jeho jednání vyřešit ve zkráceném řízení. </w:t>
      </w:r>
    </w:p>
    <w:p w:rsidR="00872D41" w:rsidRPr="00072717" w:rsidRDefault="00872D41" w:rsidP="00872D41">
      <w:pPr>
        <w:jc w:val="both"/>
        <w:rPr>
          <w:rFonts w:ascii="Arial" w:hAnsi="Arial" w:cs="Arial"/>
          <w:sz w:val="22"/>
          <w:szCs w:val="22"/>
        </w:rPr>
      </w:pPr>
    </w:p>
    <w:p w:rsidR="00872D41" w:rsidRPr="00072717" w:rsidRDefault="00872D41" w:rsidP="00872D41">
      <w:pPr>
        <w:jc w:val="both"/>
        <w:rPr>
          <w:rFonts w:ascii="Arial" w:hAnsi="Arial" w:cs="Arial"/>
          <w:sz w:val="22"/>
          <w:szCs w:val="22"/>
        </w:rPr>
      </w:pPr>
      <w:r w:rsidRPr="00072717">
        <w:rPr>
          <w:rFonts w:ascii="Arial" w:hAnsi="Arial" w:cs="Arial"/>
          <w:sz w:val="22"/>
          <w:szCs w:val="22"/>
        </w:rPr>
        <w:t xml:space="preserve">I přesto, že správní orgán uložil na pokutách dvojnásobně větší částku než v roce 2021, tak to automaticky neznamená, že tato částka byla i zaplacena. U správního orgánu tvoří velkou část pachatelů osoby, které nemají stálý příjem, které jsou odkázány na různé dávky, které nemají zajištěné dlouhodobější bydlení a které nemají osvojené základní principy fungování ve společnosti. Z toho důvodu nebývá uložená pokuta zaplacená včas a správní orgán tedy musí tyto osoby v určitých případech vyrozumívat o tom, že je v jejich případě evidován nedoplatek. Pokud ani poté není pokuta zaplacena, následuje předání na exekuční oddělení. I takových </w:t>
      </w:r>
      <w:r w:rsidRPr="00072717">
        <w:rPr>
          <w:rFonts w:ascii="Arial" w:hAnsi="Arial" w:cs="Arial"/>
          <w:sz w:val="22"/>
          <w:szCs w:val="22"/>
        </w:rPr>
        <w:lastRenderedPageBreak/>
        <w:t>případů v minulém roce přibylo, což samozřejmě znamená další administrativní zátěž. Zároveň přibylo případů, celkem 49, kdy dochází k zániku části pohledávky a na pokyn exekučního oddělení se vydává příkaz k vyřazení pohledávky. I tuto agendu vykonává oddělení přestupkové, neboť je správcem poplatku. I v těchto případech se jedná o administrativně náročnou práci.</w:t>
      </w:r>
    </w:p>
    <w:p w:rsidR="00872D41" w:rsidRPr="00B24E4D" w:rsidRDefault="00872D41" w:rsidP="00872D41">
      <w:pPr>
        <w:rPr>
          <w:rFonts w:ascii="Arial" w:hAnsi="Arial" w:cs="Arial"/>
          <w:sz w:val="22"/>
          <w:szCs w:val="22"/>
        </w:rPr>
      </w:pPr>
    </w:p>
    <w:bookmarkEnd w:id="2"/>
    <w:bookmarkEnd w:id="1"/>
    <w:sectPr w:rsidR="00872D41" w:rsidRPr="00B24E4D" w:rsidSect="00630C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272C2C56"/>
    <w:lvl w:ilvl="0">
      <w:start w:val="1"/>
      <w:numFmt w:val="decimal"/>
      <w:pStyle w:val="slovanseznam"/>
      <w:lvlText w:val="%1."/>
      <w:lvlJc w:val="left"/>
      <w:pPr>
        <w:tabs>
          <w:tab w:val="num" w:pos="360"/>
        </w:tabs>
        <w:ind w:left="360" w:hanging="360"/>
      </w:pPr>
    </w:lvl>
  </w:abstractNum>
  <w:abstractNum w:abstractNumId="1" w15:restartNumberingAfterBreak="0">
    <w:nsid w:val="FFFFFF89"/>
    <w:multiLevelType w:val="singleLevel"/>
    <w:tmpl w:val="6818DE34"/>
    <w:lvl w:ilvl="0">
      <w:start w:val="1"/>
      <w:numFmt w:val="bullet"/>
      <w:pStyle w:val="Seznamsodrkami"/>
      <w:lvlText w:val=""/>
      <w:lvlJc w:val="left"/>
      <w:pPr>
        <w:tabs>
          <w:tab w:val="num" w:pos="360"/>
        </w:tabs>
        <w:ind w:left="360" w:hanging="360"/>
      </w:pPr>
      <w:rPr>
        <w:rFonts w:ascii="Symbol" w:hAnsi="Symbol" w:hint="default"/>
      </w:rPr>
    </w:lvl>
  </w:abstractNum>
  <w:abstractNum w:abstractNumId="2" w15:restartNumberingAfterBreak="0">
    <w:nsid w:val="330C055B"/>
    <w:multiLevelType w:val="hybridMultilevel"/>
    <w:tmpl w:val="9CBC56F0"/>
    <w:lvl w:ilvl="0" w:tplc="04050017">
      <w:start w:val="1"/>
      <w:numFmt w:val="lowerLetter"/>
      <w:lvlText w:val="%1)"/>
      <w:lvlJc w:val="left"/>
      <w:pPr>
        <w:tabs>
          <w:tab w:val="num" w:pos="720"/>
        </w:tabs>
        <w:ind w:left="720" w:hanging="360"/>
      </w:pPr>
    </w:lvl>
    <w:lvl w:ilvl="1" w:tplc="C8AAC2EE">
      <w:start w:val="26"/>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46D2266E"/>
    <w:multiLevelType w:val="hybridMultilevel"/>
    <w:tmpl w:val="0A9C847C"/>
    <w:lvl w:ilvl="0" w:tplc="3ABA77DE">
      <w:start w:val="1"/>
      <w:numFmt w:val="decimal"/>
      <w:lvlText w:val="%1)"/>
      <w:lvlJc w:val="left"/>
      <w:pPr>
        <w:ind w:left="1097" w:hanging="384"/>
      </w:pPr>
    </w:lvl>
    <w:lvl w:ilvl="1" w:tplc="04050019">
      <w:start w:val="1"/>
      <w:numFmt w:val="lowerLetter"/>
      <w:lvlText w:val="%2."/>
      <w:lvlJc w:val="left"/>
      <w:pPr>
        <w:ind w:left="1793" w:hanging="360"/>
      </w:pPr>
    </w:lvl>
    <w:lvl w:ilvl="2" w:tplc="0405001B">
      <w:start w:val="1"/>
      <w:numFmt w:val="lowerRoman"/>
      <w:lvlText w:val="%3."/>
      <w:lvlJc w:val="right"/>
      <w:pPr>
        <w:ind w:left="2513" w:hanging="180"/>
      </w:pPr>
    </w:lvl>
    <w:lvl w:ilvl="3" w:tplc="0405000F">
      <w:start w:val="1"/>
      <w:numFmt w:val="decimal"/>
      <w:lvlText w:val="%4."/>
      <w:lvlJc w:val="left"/>
      <w:pPr>
        <w:ind w:left="3233" w:hanging="360"/>
      </w:pPr>
    </w:lvl>
    <w:lvl w:ilvl="4" w:tplc="04050019">
      <w:start w:val="1"/>
      <w:numFmt w:val="lowerLetter"/>
      <w:lvlText w:val="%5."/>
      <w:lvlJc w:val="left"/>
      <w:pPr>
        <w:ind w:left="3953" w:hanging="360"/>
      </w:pPr>
    </w:lvl>
    <w:lvl w:ilvl="5" w:tplc="0405001B">
      <w:start w:val="1"/>
      <w:numFmt w:val="lowerRoman"/>
      <w:lvlText w:val="%6."/>
      <w:lvlJc w:val="right"/>
      <w:pPr>
        <w:ind w:left="4673" w:hanging="180"/>
      </w:pPr>
    </w:lvl>
    <w:lvl w:ilvl="6" w:tplc="0405000F">
      <w:start w:val="1"/>
      <w:numFmt w:val="decimal"/>
      <w:lvlText w:val="%7."/>
      <w:lvlJc w:val="left"/>
      <w:pPr>
        <w:ind w:left="5393" w:hanging="360"/>
      </w:pPr>
    </w:lvl>
    <w:lvl w:ilvl="7" w:tplc="04050019">
      <w:start w:val="1"/>
      <w:numFmt w:val="lowerLetter"/>
      <w:lvlText w:val="%8."/>
      <w:lvlJc w:val="left"/>
      <w:pPr>
        <w:ind w:left="6113" w:hanging="360"/>
      </w:pPr>
    </w:lvl>
    <w:lvl w:ilvl="8" w:tplc="0405001B">
      <w:start w:val="1"/>
      <w:numFmt w:val="lowerRoman"/>
      <w:lvlText w:val="%9."/>
      <w:lvlJc w:val="right"/>
      <w:pPr>
        <w:ind w:left="6833" w:hanging="180"/>
      </w:pPr>
    </w:lvl>
  </w:abstractNum>
  <w:abstractNum w:abstractNumId="4" w15:restartNumberingAfterBreak="0">
    <w:nsid w:val="662B5F3D"/>
    <w:multiLevelType w:val="hybridMultilevel"/>
    <w:tmpl w:val="CFD602AC"/>
    <w:lvl w:ilvl="0" w:tplc="04050017">
      <w:start w:val="1"/>
      <w:numFmt w:val="lowerLetter"/>
      <w:lvlText w:val="%1)"/>
      <w:lvlJc w:val="left"/>
      <w:pPr>
        <w:tabs>
          <w:tab w:val="num" w:pos="787"/>
        </w:tabs>
        <w:ind w:left="787" w:hanging="360"/>
      </w:pPr>
    </w:lvl>
    <w:lvl w:ilvl="1" w:tplc="04050019" w:tentative="1">
      <w:start w:val="1"/>
      <w:numFmt w:val="lowerLetter"/>
      <w:lvlText w:val="%2."/>
      <w:lvlJc w:val="left"/>
      <w:pPr>
        <w:tabs>
          <w:tab w:val="num" w:pos="1507"/>
        </w:tabs>
        <w:ind w:left="1507" w:hanging="360"/>
      </w:pPr>
    </w:lvl>
    <w:lvl w:ilvl="2" w:tplc="0405001B" w:tentative="1">
      <w:start w:val="1"/>
      <w:numFmt w:val="lowerRoman"/>
      <w:lvlText w:val="%3."/>
      <w:lvlJc w:val="right"/>
      <w:pPr>
        <w:tabs>
          <w:tab w:val="num" w:pos="2227"/>
        </w:tabs>
        <w:ind w:left="2227" w:hanging="180"/>
      </w:pPr>
    </w:lvl>
    <w:lvl w:ilvl="3" w:tplc="0405000F" w:tentative="1">
      <w:start w:val="1"/>
      <w:numFmt w:val="decimal"/>
      <w:lvlText w:val="%4."/>
      <w:lvlJc w:val="left"/>
      <w:pPr>
        <w:tabs>
          <w:tab w:val="num" w:pos="2947"/>
        </w:tabs>
        <w:ind w:left="2947" w:hanging="360"/>
      </w:pPr>
    </w:lvl>
    <w:lvl w:ilvl="4" w:tplc="04050019" w:tentative="1">
      <w:start w:val="1"/>
      <w:numFmt w:val="lowerLetter"/>
      <w:lvlText w:val="%5."/>
      <w:lvlJc w:val="left"/>
      <w:pPr>
        <w:tabs>
          <w:tab w:val="num" w:pos="3667"/>
        </w:tabs>
        <w:ind w:left="3667" w:hanging="360"/>
      </w:pPr>
    </w:lvl>
    <w:lvl w:ilvl="5" w:tplc="0405001B" w:tentative="1">
      <w:start w:val="1"/>
      <w:numFmt w:val="lowerRoman"/>
      <w:lvlText w:val="%6."/>
      <w:lvlJc w:val="right"/>
      <w:pPr>
        <w:tabs>
          <w:tab w:val="num" w:pos="4387"/>
        </w:tabs>
        <w:ind w:left="4387" w:hanging="180"/>
      </w:pPr>
    </w:lvl>
    <w:lvl w:ilvl="6" w:tplc="0405000F" w:tentative="1">
      <w:start w:val="1"/>
      <w:numFmt w:val="decimal"/>
      <w:lvlText w:val="%7."/>
      <w:lvlJc w:val="left"/>
      <w:pPr>
        <w:tabs>
          <w:tab w:val="num" w:pos="5107"/>
        </w:tabs>
        <w:ind w:left="5107" w:hanging="360"/>
      </w:pPr>
    </w:lvl>
    <w:lvl w:ilvl="7" w:tplc="04050019" w:tentative="1">
      <w:start w:val="1"/>
      <w:numFmt w:val="lowerLetter"/>
      <w:lvlText w:val="%8."/>
      <w:lvlJc w:val="left"/>
      <w:pPr>
        <w:tabs>
          <w:tab w:val="num" w:pos="5827"/>
        </w:tabs>
        <w:ind w:left="5827" w:hanging="360"/>
      </w:pPr>
    </w:lvl>
    <w:lvl w:ilvl="8" w:tplc="0405001B" w:tentative="1">
      <w:start w:val="1"/>
      <w:numFmt w:val="lowerRoman"/>
      <w:lvlText w:val="%9."/>
      <w:lvlJc w:val="right"/>
      <w:pPr>
        <w:tabs>
          <w:tab w:val="num" w:pos="6547"/>
        </w:tabs>
        <w:ind w:left="6547" w:hanging="180"/>
      </w:pPr>
    </w:lvl>
  </w:abstractNum>
  <w:num w:numId="1">
    <w:abstractNumId w:val="0"/>
  </w:num>
  <w:num w:numId="2">
    <w:abstractNumId w:val="1"/>
  </w:num>
  <w:num w:numId="3">
    <w:abstractNumId w:val="0"/>
  </w:num>
  <w:num w:numId="4">
    <w:abstractNumId w:val="2"/>
  </w:num>
  <w:num w:numId="5">
    <w:abstractNumId w:val="4"/>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AE9"/>
    <w:rsid w:val="0001151C"/>
    <w:rsid w:val="00025240"/>
    <w:rsid w:val="00076566"/>
    <w:rsid w:val="000F1907"/>
    <w:rsid w:val="00183AE9"/>
    <w:rsid w:val="002849EB"/>
    <w:rsid w:val="00391606"/>
    <w:rsid w:val="004D5E54"/>
    <w:rsid w:val="00544F4C"/>
    <w:rsid w:val="00597194"/>
    <w:rsid w:val="006167B5"/>
    <w:rsid w:val="00630C77"/>
    <w:rsid w:val="006C72AA"/>
    <w:rsid w:val="007537D8"/>
    <w:rsid w:val="007F5832"/>
    <w:rsid w:val="00846536"/>
    <w:rsid w:val="00872D41"/>
    <w:rsid w:val="008A7DBE"/>
    <w:rsid w:val="008B3C77"/>
    <w:rsid w:val="0098056C"/>
    <w:rsid w:val="00A03357"/>
    <w:rsid w:val="00AE012C"/>
    <w:rsid w:val="00B8693F"/>
    <w:rsid w:val="00C2128C"/>
    <w:rsid w:val="00C31EFD"/>
    <w:rsid w:val="00C56881"/>
    <w:rsid w:val="00CA19EC"/>
    <w:rsid w:val="00CC0A99"/>
    <w:rsid w:val="00CD2832"/>
    <w:rsid w:val="00D954AA"/>
    <w:rsid w:val="00E44256"/>
    <w:rsid w:val="00EA604E"/>
    <w:rsid w:val="00F12BEB"/>
    <w:rsid w:val="00F819A6"/>
    <w:rsid w:val="00FA77E2"/>
    <w:rsid w:val="00FD1E31"/>
    <w:rsid w:val="00FF7C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395C841-BB3B-48E2-8EEE-DAA17D18E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30C77"/>
    <w:rPr>
      <w:sz w:val="24"/>
      <w:szCs w:val="24"/>
    </w:rPr>
  </w:style>
  <w:style w:type="paragraph" w:styleId="Nadpis1">
    <w:name w:val="heading 1"/>
    <w:basedOn w:val="Normln"/>
    <w:next w:val="Normln"/>
    <w:qFormat/>
    <w:rsid w:val="00630C77"/>
    <w:pPr>
      <w:keepNext/>
      <w:widowControl w:val="0"/>
      <w:autoSpaceDE w:val="0"/>
      <w:autoSpaceDN w:val="0"/>
      <w:adjustRightInd w:val="0"/>
      <w:ind w:right="144"/>
      <w:jc w:val="both"/>
      <w:outlineLvl w:val="0"/>
    </w:pPr>
    <w:rPr>
      <w:b/>
      <w:bCs/>
      <w:szCs w:val="20"/>
      <w:u w:val="single"/>
    </w:rPr>
  </w:style>
  <w:style w:type="paragraph" w:styleId="Nadpis2">
    <w:name w:val="heading 2"/>
    <w:basedOn w:val="Normln"/>
    <w:next w:val="Normln"/>
    <w:qFormat/>
    <w:rsid w:val="00630C77"/>
    <w:pPr>
      <w:keepNext/>
      <w:widowControl w:val="0"/>
      <w:tabs>
        <w:tab w:val="left" w:pos="2880"/>
      </w:tabs>
      <w:autoSpaceDE w:val="0"/>
      <w:autoSpaceDN w:val="0"/>
      <w:adjustRightInd w:val="0"/>
      <w:ind w:right="144"/>
      <w:jc w:val="right"/>
      <w:outlineLvl w:val="1"/>
    </w:pPr>
    <w:rPr>
      <w:b/>
      <w:bCs/>
      <w:szCs w:val="20"/>
    </w:rPr>
  </w:style>
  <w:style w:type="paragraph" w:styleId="Nadpis3">
    <w:name w:val="heading 3"/>
    <w:basedOn w:val="Normln"/>
    <w:next w:val="Normln"/>
    <w:qFormat/>
    <w:rsid w:val="00FD1E31"/>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
    <w:name w:val="Styl1"/>
    <w:basedOn w:val="slovanseznam"/>
    <w:next w:val="Seznamsodrkami"/>
    <w:autoRedefine/>
    <w:rsid w:val="00630C77"/>
    <w:pPr>
      <w:numPr>
        <w:numId w:val="0"/>
      </w:numPr>
      <w:jc w:val="both"/>
    </w:pPr>
  </w:style>
  <w:style w:type="paragraph" w:styleId="slovanseznam">
    <w:name w:val="List Number"/>
    <w:basedOn w:val="Normln"/>
    <w:rsid w:val="00630C77"/>
    <w:pPr>
      <w:numPr>
        <w:numId w:val="3"/>
      </w:numPr>
    </w:pPr>
  </w:style>
  <w:style w:type="paragraph" w:styleId="Seznamsodrkami">
    <w:name w:val="List Bullet"/>
    <w:basedOn w:val="Normln"/>
    <w:autoRedefine/>
    <w:rsid w:val="00630C77"/>
    <w:pPr>
      <w:numPr>
        <w:numId w:val="2"/>
      </w:numPr>
    </w:pPr>
  </w:style>
  <w:style w:type="paragraph" w:styleId="Zkladntext">
    <w:name w:val="Body Text"/>
    <w:basedOn w:val="Normln"/>
    <w:rsid w:val="00630C77"/>
    <w:pPr>
      <w:widowControl w:val="0"/>
      <w:autoSpaceDE w:val="0"/>
      <w:autoSpaceDN w:val="0"/>
      <w:adjustRightInd w:val="0"/>
      <w:ind w:right="144"/>
      <w:jc w:val="both"/>
    </w:pPr>
    <w:rPr>
      <w:i/>
      <w:iCs/>
      <w:szCs w:val="20"/>
    </w:rPr>
  </w:style>
  <w:style w:type="paragraph" w:styleId="Zkladntext3">
    <w:name w:val="Body Text 3"/>
    <w:basedOn w:val="Normln"/>
    <w:rsid w:val="00630C77"/>
    <w:pPr>
      <w:widowControl w:val="0"/>
      <w:autoSpaceDE w:val="0"/>
      <w:autoSpaceDN w:val="0"/>
      <w:adjustRightInd w:val="0"/>
      <w:ind w:right="49"/>
      <w:jc w:val="both"/>
    </w:pPr>
    <w:rPr>
      <w:i/>
      <w:iCs/>
      <w:szCs w:val="20"/>
    </w:rPr>
  </w:style>
  <w:style w:type="paragraph" w:styleId="Textbubliny">
    <w:name w:val="Balloon Text"/>
    <w:basedOn w:val="Normln"/>
    <w:link w:val="TextbublinyChar"/>
    <w:rsid w:val="00846536"/>
    <w:rPr>
      <w:rFonts w:ascii="Segoe UI" w:hAnsi="Segoe UI" w:cs="Segoe UI"/>
      <w:sz w:val="18"/>
      <w:szCs w:val="18"/>
    </w:rPr>
  </w:style>
  <w:style w:type="character" w:customStyle="1" w:styleId="TextbublinyChar">
    <w:name w:val="Text bubliny Char"/>
    <w:basedOn w:val="Standardnpsmoodstavce"/>
    <w:link w:val="Textbubliny"/>
    <w:rsid w:val="0084653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3389</Words>
  <Characters>19513</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[NÁZEV ORGANIZAČNÍ JEDNOTKY]</vt:lpstr>
    </vt:vector>
  </TitlesOfParts>
  <Company/>
  <LinksUpToDate>false</LinksUpToDate>
  <CharactersWithSpaces>22857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ORGANIZAČNÍ JEDNOTKY]</dc:title>
  <dc:subject/>
  <dc:creator>Tomáš Popelka</dc:creator>
  <cp:keywords/>
  <cp:lastModifiedBy>Renata Klemšová</cp:lastModifiedBy>
  <cp:revision>5</cp:revision>
  <cp:lastPrinted>2023-04-26T14:09:00Z</cp:lastPrinted>
  <dcterms:created xsi:type="dcterms:W3CDTF">2023-04-26T08:33:00Z</dcterms:created>
  <dcterms:modified xsi:type="dcterms:W3CDTF">2023-04-26T14:09:00Z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1105167456</vt:i4>
  </property>
  <property fmtid="{D5CDD505-2E9C-101B-9397-08002B2CF9AE}" pid="3" name="_EmailSubject">
    <vt:lpwstr>šablony</vt:lpwstr>
  </property>
  <property fmtid="{D5CDD505-2E9C-101B-9397-08002B2CF9AE}" pid="4" name="_AuthorEmail">
    <vt:lpwstr>renata.klemsova@svitavy.cz</vt:lpwstr>
  </property>
  <property fmtid="{D5CDD505-2E9C-101B-9397-08002B2CF9AE}" pid="5" name="_AuthorEmailDisplayName">
    <vt:lpwstr>Klemšová Renata</vt:lpwstr>
  </property>
  <property fmtid="{D5CDD505-2E9C-101B-9397-08002B2CF9AE}" pid="6" name="_ReviewingToolsShownOnce">
    <vt:lpwstr/>
  </property>
</Properties>
</file>