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46F" w:rsidRPr="007A3ED4" w:rsidRDefault="00F7646F" w:rsidP="00CC587F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1" layoutInCell="1" allowOverlap="1" wp14:anchorId="456980E2" wp14:editId="7B822EDF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1" name="Obrázek 1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87F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dbor výstavby</w:t>
      </w:r>
      <w:r w:rsidRPr="007A3ED4">
        <w:rPr>
          <w:rFonts w:ascii="Arial" w:hAnsi="Arial" w:cs="Arial"/>
          <w:b/>
        </w:rPr>
        <w:t xml:space="preserve"> </w:t>
      </w:r>
      <w:r w:rsidR="00CC587F">
        <w:rPr>
          <w:rFonts w:ascii="Arial" w:hAnsi="Arial" w:cs="Arial"/>
          <w:b/>
        </w:rPr>
        <w:tab/>
        <w:t>3.5.</w:t>
      </w:r>
      <w:bookmarkStart w:id="0" w:name="_GoBack"/>
      <w:bookmarkEnd w:id="0"/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7646F" w:rsidRPr="00522A31" w:rsidRDefault="00F7646F" w:rsidP="00F7646F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 w:val="22"/>
          <w:szCs w:val="22"/>
        </w:rPr>
      </w:pPr>
      <w:r w:rsidRPr="00522A31">
        <w:rPr>
          <w:rFonts w:ascii="Arial" w:hAnsi="Arial" w:cs="Arial"/>
          <w:sz w:val="22"/>
          <w:szCs w:val="22"/>
        </w:rPr>
        <w:t xml:space="preserve">Pro jednání zastupitelstva města dne:  </w:t>
      </w:r>
      <w:r w:rsidR="008505B1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</w:t>
      </w:r>
      <w:r w:rsidR="008505B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.202</w:t>
      </w:r>
      <w:r w:rsidR="007B2774">
        <w:rPr>
          <w:rFonts w:ascii="Arial" w:hAnsi="Arial" w:cs="Arial"/>
          <w:sz w:val="22"/>
          <w:szCs w:val="22"/>
        </w:rPr>
        <w:t>3</w:t>
      </w:r>
    </w:p>
    <w:p w:rsidR="00F7646F" w:rsidRPr="00522A31" w:rsidRDefault="00F7646F" w:rsidP="00F7646F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 w:val="22"/>
          <w:szCs w:val="22"/>
        </w:rPr>
      </w:pPr>
      <w:r w:rsidRPr="00522A31">
        <w:rPr>
          <w:rFonts w:ascii="Arial" w:hAnsi="Arial" w:cs="Arial"/>
          <w:bCs/>
          <w:sz w:val="22"/>
          <w:szCs w:val="22"/>
        </w:rPr>
        <w:t>Zpracoval:</w:t>
      </w:r>
      <w:r w:rsidRPr="00522A31">
        <w:rPr>
          <w:rFonts w:ascii="Arial" w:hAnsi="Arial" w:cs="Arial"/>
          <w:bCs/>
          <w:sz w:val="22"/>
          <w:szCs w:val="22"/>
        </w:rPr>
        <w:tab/>
      </w:r>
      <w:r w:rsidR="007B2774">
        <w:rPr>
          <w:rFonts w:ascii="Arial" w:hAnsi="Arial" w:cs="Arial"/>
          <w:bCs/>
          <w:sz w:val="22"/>
          <w:szCs w:val="22"/>
        </w:rPr>
        <w:t xml:space="preserve">Dagmar Korcová, </w:t>
      </w:r>
      <w:r w:rsidR="00621387">
        <w:rPr>
          <w:rFonts w:ascii="Arial" w:hAnsi="Arial" w:cs="Arial"/>
          <w:bCs/>
          <w:sz w:val="22"/>
          <w:szCs w:val="22"/>
        </w:rPr>
        <w:t xml:space="preserve">Bc. </w:t>
      </w:r>
      <w:r w:rsidRPr="00522A31">
        <w:rPr>
          <w:rFonts w:ascii="Arial" w:hAnsi="Arial" w:cs="Arial"/>
          <w:bCs/>
          <w:sz w:val="22"/>
          <w:szCs w:val="22"/>
        </w:rPr>
        <w:t>Roman Poláček</w:t>
      </w:r>
    </w:p>
    <w:p w:rsidR="00F7646F" w:rsidRPr="00522A31" w:rsidRDefault="00F7646F" w:rsidP="00F7646F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 w:val="22"/>
          <w:szCs w:val="22"/>
        </w:rPr>
      </w:pPr>
      <w:r w:rsidRPr="00522A31">
        <w:rPr>
          <w:rFonts w:ascii="Arial" w:hAnsi="Arial" w:cs="Arial"/>
          <w:bCs/>
          <w:sz w:val="22"/>
          <w:szCs w:val="22"/>
        </w:rPr>
        <w:t>Předkládá:</w:t>
      </w:r>
      <w:r w:rsidRPr="00522A31">
        <w:rPr>
          <w:rFonts w:ascii="Arial" w:hAnsi="Arial" w:cs="Arial"/>
          <w:bCs/>
          <w:sz w:val="22"/>
          <w:szCs w:val="22"/>
        </w:rPr>
        <w:tab/>
      </w:r>
      <w:r w:rsidR="007B2774">
        <w:rPr>
          <w:rFonts w:ascii="Arial" w:hAnsi="Arial" w:cs="Arial"/>
          <w:bCs/>
          <w:sz w:val="22"/>
          <w:szCs w:val="22"/>
        </w:rPr>
        <w:t>Pavel Čížek, místo</w:t>
      </w:r>
      <w:r w:rsidRPr="00522A31">
        <w:rPr>
          <w:rFonts w:ascii="Arial" w:hAnsi="Arial" w:cs="Arial"/>
          <w:bCs/>
          <w:sz w:val="22"/>
          <w:szCs w:val="22"/>
        </w:rPr>
        <w:t>starosta města</w:t>
      </w: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 xml:space="preserve"> </w:t>
      </w: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7646F" w:rsidRPr="007A3ED4" w:rsidRDefault="007B2774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</w:t>
      </w:r>
      <w:r w:rsidR="008505B1">
        <w:rPr>
          <w:rFonts w:ascii="Arial" w:hAnsi="Arial" w:cs="Arial"/>
          <w:b/>
          <w:sz w:val="28"/>
          <w:szCs w:val="28"/>
          <w:u w:val="single"/>
        </w:rPr>
        <w:t xml:space="preserve">měna č. 4 </w:t>
      </w:r>
      <w:r>
        <w:rPr>
          <w:rFonts w:ascii="Arial" w:hAnsi="Arial" w:cs="Arial"/>
          <w:b/>
          <w:sz w:val="28"/>
          <w:szCs w:val="28"/>
          <w:u w:val="single"/>
        </w:rPr>
        <w:t>Územního plánu města Svitavy</w:t>
      </w: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505B1" w:rsidRPr="008505B1" w:rsidRDefault="0015025E" w:rsidP="008505B1">
      <w:pPr>
        <w:jc w:val="both"/>
        <w:rPr>
          <w:rFonts w:ascii="Arial" w:hAnsi="Arial" w:cs="Arial"/>
          <w:iCs/>
          <w:sz w:val="22"/>
          <w:szCs w:val="22"/>
        </w:rPr>
      </w:pPr>
      <w:r w:rsidRPr="00D30B98">
        <w:rPr>
          <w:rFonts w:ascii="Arial" w:hAnsi="Arial" w:cs="Arial"/>
          <w:sz w:val="22"/>
          <w:szCs w:val="22"/>
        </w:rPr>
        <w:t xml:space="preserve">        </w:t>
      </w:r>
      <w:r w:rsidR="008505B1" w:rsidRPr="008505B1">
        <w:rPr>
          <w:rFonts w:ascii="Arial" w:hAnsi="Arial" w:cs="Arial"/>
          <w:iCs/>
          <w:sz w:val="22"/>
          <w:szCs w:val="22"/>
        </w:rPr>
        <w:t>Zastupitelstvo města dne 17. 3. 2021 na svém zasedání schválilo obsah Změny č. 4 Územního plánu Svitavy</w:t>
      </w:r>
      <w:r w:rsidR="008505B1">
        <w:rPr>
          <w:rFonts w:ascii="Arial" w:hAnsi="Arial" w:cs="Arial"/>
          <w:iCs/>
          <w:sz w:val="22"/>
          <w:szCs w:val="22"/>
        </w:rPr>
        <w:t xml:space="preserve"> (dále též jen „Změna“)</w:t>
      </w:r>
      <w:r w:rsidR="008505B1" w:rsidRPr="008505B1">
        <w:rPr>
          <w:rFonts w:ascii="Arial" w:hAnsi="Arial" w:cs="Arial"/>
          <w:iCs/>
          <w:sz w:val="22"/>
          <w:szCs w:val="22"/>
        </w:rPr>
        <w:t xml:space="preserve"> ve čtyřech lokalitách. Dalších 6 lokalit bylo schváleno na jednání</w:t>
      </w:r>
      <w:r w:rsidR="008505B1">
        <w:rPr>
          <w:rFonts w:ascii="Arial" w:hAnsi="Arial" w:cs="Arial"/>
          <w:iCs/>
          <w:sz w:val="22"/>
          <w:szCs w:val="22"/>
        </w:rPr>
        <w:t>ch</w:t>
      </w:r>
      <w:r w:rsidR="008505B1" w:rsidRPr="008505B1">
        <w:rPr>
          <w:rFonts w:ascii="Arial" w:hAnsi="Arial" w:cs="Arial"/>
          <w:iCs/>
          <w:sz w:val="22"/>
          <w:szCs w:val="22"/>
        </w:rPr>
        <w:t xml:space="preserve"> zastupitelstva města dne 23.6.2021, </w:t>
      </w:r>
      <w:r w:rsidR="008505B1">
        <w:rPr>
          <w:rFonts w:ascii="Arial" w:hAnsi="Arial" w:cs="Arial"/>
          <w:iCs/>
          <w:sz w:val="22"/>
          <w:szCs w:val="22"/>
        </w:rPr>
        <w:t xml:space="preserve">dne </w:t>
      </w:r>
      <w:r w:rsidR="008505B1" w:rsidRPr="008505B1">
        <w:rPr>
          <w:rFonts w:ascii="Arial" w:hAnsi="Arial" w:cs="Arial"/>
          <w:iCs/>
          <w:sz w:val="22"/>
          <w:szCs w:val="22"/>
        </w:rPr>
        <w:t xml:space="preserve">8.9.2021 a </w:t>
      </w:r>
      <w:r w:rsidR="008505B1">
        <w:rPr>
          <w:rFonts w:ascii="Arial" w:hAnsi="Arial" w:cs="Arial"/>
          <w:iCs/>
          <w:sz w:val="22"/>
          <w:szCs w:val="22"/>
        </w:rPr>
        <w:t xml:space="preserve">dne </w:t>
      </w:r>
      <w:r w:rsidR="008505B1" w:rsidRPr="008505B1">
        <w:rPr>
          <w:rFonts w:ascii="Arial" w:hAnsi="Arial" w:cs="Arial"/>
          <w:iCs/>
          <w:sz w:val="22"/>
          <w:szCs w:val="22"/>
        </w:rPr>
        <w:t>31.1.2022. Na základě žádosti byla ze Změny vypuštěna</w:t>
      </w:r>
      <w:r w:rsidR="008505B1">
        <w:rPr>
          <w:rFonts w:ascii="Arial" w:hAnsi="Arial" w:cs="Arial"/>
          <w:iCs/>
          <w:sz w:val="22"/>
          <w:szCs w:val="22"/>
        </w:rPr>
        <w:t xml:space="preserve"> </w:t>
      </w:r>
      <w:r w:rsidR="008505B1" w:rsidRPr="008505B1">
        <w:rPr>
          <w:rFonts w:ascii="Arial" w:hAnsi="Arial" w:cs="Arial"/>
          <w:iCs/>
          <w:sz w:val="22"/>
          <w:szCs w:val="22"/>
        </w:rPr>
        <w:t xml:space="preserve">lokalita č. 1. </w:t>
      </w:r>
    </w:p>
    <w:p w:rsidR="008505B1" w:rsidRPr="008505B1" w:rsidRDefault="008505B1" w:rsidP="008505B1">
      <w:pPr>
        <w:pStyle w:val="Text"/>
        <w:rPr>
          <w:rFonts w:ascii="Arial" w:hAnsi="Arial" w:cs="Arial"/>
          <w:b/>
          <w:sz w:val="22"/>
          <w:szCs w:val="22"/>
        </w:rPr>
      </w:pPr>
      <w:r w:rsidRPr="008505B1">
        <w:rPr>
          <w:rFonts w:ascii="Arial" w:hAnsi="Arial" w:cs="Arial"/>
          <w:sz w:val="22"/>
          <w:szCs w:val="22"/>
        </w:rPr>
        <w:t xml:space="preserve">        </w:t>
      </w:r>
      <w:r w:rsidRPr="008505B1">
        <w:rPr>
          <w:rFonts w:ascii="Arial" w:hAnsi="Arial" w:cs="Arial"/>
          <w:sz w:val="22"/>
          <w:szCs w:val="22"/>
        </w:rPr>
        <w:tab/>
        <w:t>Městský úřad Svitavy, odbor výstavby, jako pořizovatel Změny předkládá Zastupitelstvu města v souladu s ustanovením §</w:t>
      </w:r>
      <w:r>
        <w:rPr>
          <w:rFonts w:ascii="Arial" w:hAnsi="Arial" w:cs="Arial"/>
          <w:sz w:val="22"/>
          <w:szCs w:val="22"/>
        </w:rPr>
        <w:t xml:space="preserve"> </w:t>
      </w:r>
      <w:r w:rsidRPr="008505B1">
        <w:rPr>
          <w:rFonts w:ascii="Arial" w:hAnsi="Arial" w:cs="Arial"/>
          <w:sz w:val="22"/>
          <w:szCs w:val="22"/>
        </w:rPr>
        <w:t xml:space="preserve">54, odst. 1 zákona č. 183/2006 Sb. o územním plánování a stavebním řádu (stavební zákon) v platném znění (dále též jen „stavební zákon“), návrh na vydání </w:t>
      </w:r>
      <w:r w:rsidRPr="008505B1">
        <w:rPr>
          <w:rFonts w:ascii="Arial" w:hAnsi="Arial" w:cs="Arial"/>
          <w:b/>
          <w:sz w:val="22"/>
          <w:szCs w:val="22"/>
        </w:rPr>
        <w:t xml:space="preserve">ZMĚNY Č. 4 ÚZEMNÍHO PLÁNU SVITAVY. </w:t>
      </w:r>
    </w:p>
    <w:p w:rsidR="008505B1" w:rsidRPr="008505B1" w:rsidRDefault="008505B1" w:rsidP="008505B1">
      <w:pPr>
        <w:pStyle w:val="Bezmezer1"/>
        <w:jc w:val="both"/>
        <w:rPr>
          <w:rFonts w:ascii="Arial" w:hAnsi="Arial" w:cs="Arial"/>
        </w:rPr>
      </w:pPr>
      <w:r w:rsidRPr="008505B1">
        <w:rPr>
          <w:rFonts w:ascii="Arial" w:hAnsi="Arial" w:cs="Arial"/>
        </w:rPr>
        <w:t xml:space="preserve">          </w:t>
      </w:r>
      <w:r w:rsidRPr="008505B1">
        <w:rPr>
          <w:rFonts w:ascii="Arial" w:hAnsi="Arial" w:cs="Arial"/>
        </w:rPr>
        <w:tab/>
        <w:t>Pořizovatel projednal návrh Změny s dotčenými orgány chránícími zájmy podle zvláštních právních předpisů a dle jejich uplatněných stanovisek byl návrh upraven.</w:t>
      </w:r>
    </w:p>
    <w:p w:rsidR="008505B1" w:rsidRPr="008505B1" w:rsidRDefault="008505B1" w:rsidP="008505B1">
      <w:pPr>
        <w:pStyle w:val="Bezmezer1"/>
        <w:jc w:val="both"/>
        <w:rPr>
          <w:rFonts w:ascii="Arial" w:hAnsi="Arial" w:cs="Arial"/>
        </w:rPr>
      </w:pPr>
      <w:r w:rsidRPr="008505B1">
        <w:rPr>
          <w:rFonts w:ascii="Arial" w:hAnsi="Arial" w:cs="Arial"/>
        </w:rPr>
        <w:t xml:space="preserve">          </w:t>
      </w:r>
      <w:r w:rsidRPr="008505B1">
        <w:rPr>
          <w:rFonts w:ascii="Arial" w:hAnsi="Arial" w:cs="Arial"/>
        </w:rPr>
        <w:tab/>
        <w:t xml:space="preserve">Změna je v souladu s požadavky stavebního zákona, vyhlášky č. 500/2006 Sb., o </w:t>
      </w:r>
      <w:r>
        <w:rPr>
          <w:rFonts w:ascii="Arial" w:hAnsi="Arial" w:cs="Arial"/>
        </w:rPr>
        <w:t xml:space="preserve">územně </w:t>
      </w:r>
      <w:r w:rsidRPr="008505B1">
        <w:rPr>
          <w:rFonts w:ascii="Arial" w:hAnsi="Arial" w:cs="Arial"/>
        </w:rPr>
        <w:t xml:space="preserve">analytických podkladech, územně plánovací dokumentaci a způsobu evidence územně plánovací činnosti a vyhlášky č. 501/2006 Sb., o obecných požadavcích na využívání území, s požadavky zvláštních právních předpisů a se stanovisky dotčených orgánů podle zvláštních právních předpisů. </w:t>
      </w:r>
      <w:r>
        <w:rPr>
          <w:rFonts w:ascii="Arial" w:hAnsi="Arial" w:cs="Arial"/>
        </w:rPr>
        <w:t>Změna j</w:t>
      </w:r>
      <w:r w:rsidRPr="008505B1">
        <w:rPr>
          <w:rFonts w:ascii="Arial" w:hAnsi="Arial" w:cs="Arial"/>
        </w:rPr>
        <w:t xml:space="preserve">e v souladu s Politikou územního rozvoje ČR </w:t>
      </w:r>
      <w:r w:rsidRPr="008505B1">
        <w:rPr>
          <w:rFonts w:ascii="Arial" w:hAnsi="Arial" w:cs="Arial"/>
          <w:color w:val="000000"/>
          <w:spacing w:val="-1"/>
        </w:rPr>
        <w:t>v</w:t>
      </w:r>
      <w:r w:rsidRPr="008505B1">
        <w:rPr>
          <w:rFonts w:ascii="Arial" w:hAnsi="Arial" w:cs="Arial"/>
          <w:color w:val="000000"/>
        </w:rPr>
        <w:t>e</w:t>
      </w:r>
      <w:r w:rsidRPr="008505B1">
        <w:rPr>
          <w:rFonts w:ascii="Arial" w:hAnsi="Arial" w:cs="Arial"/>
          <w:color w:val="000000"/>
          <w:spacing w:val="-1"/>
        </w:rPr>
        <w:t xml:space="preserve"> z</w:t>
      </w:r>
      <w:r w:rsidRPr="008505B1">
        <w:rPr>
          <w:rFonts w:ascii="Arial" w:hAnsi="Arial" w:cs="Arial"/>
          <w:color w:val="000000"/>
          <w:spacing w:val="2"/>
        </w:rPr>
        <w:t>n</w:t>
      </w:r>
      <w:r w:rsidRPr="008505B1">
        <w:rPr>
          <w:rFonts w:ascii="Arial" w:hAnsi="Arial" w:cs="Arial"/>
          <w:color w:val="000000"/>
        </w:rPr>
        <w:t>ě</w:t>
      </w:r>
      <w:r w:rsidRPr="008505B1">
        <w:rPr>
          <w:rFonts w:ascii="Arial" w:hAnsi="Arial" w:cs="Arial"/>
          <w:color w:val="000000"/>
          <w:spacing w:val="-1"/>
        </w:rPr>
        <w:t>n</w:t>
      </w:r>
      <w:r w:rsidRPr="008505B1">
        <w:rPr>
          <w:rFonts w:ascii="Arial" w:hAnsi="Arial" w:cs="Arial"/>
          <w:color w:val="000000"/>
        </w:rPr>
        <w:t>í</w:t>
      </w:r>
      <w:r w:rsidRPr="008505B1">
        <w:rPr>
          <w:rFonts w:ascii="Arial" w:hAnsi="Arial" w:cs="Arial"/>
          <w:color w:val="000000"/>
          <w:spacing w:val="-3"/>
        </w:rPr>
        <w:t xml:space="preserve"> </w:t>
      </w:r>
      <w:r w:rsidRPr="008505B1">
        <w:rPr>
          <w:rFonts w:ascii="Arial" w:hAnsi="Arial" w:cs="Arial"/>
          <w:color w:val="000000"/>
        </w:rPr>
        <w:t>aktualizace č. 1, 2, 3, 4 a 5</w:t>
      </w:r>
      <w:r w:rsidRPr="008505B1">
        <w:rPr>
          <w:rFonts w:ascii="Arial" w:hAnsi="Arial" w:cs="Arial"/>
        </w:rPr>
        <w:t xml:space="preserve"> a Zásadami územního rozvoje Pardubického kraje ve znění aktualizace č. 3.</w:t>
      </w:r>
    </w:p>
    <w:p w:rsidR="008505B1" w:rsidRPr="008505B1" w:rsidRDefault="008505B1" w:rsidP="008505B1">
      <w:pPr>
        <w:pStyle w:val="Bezmezer1"/>
        <w:jc w:val="both"/>
        <w:rPr>
          <w:rFonts w:ascii="Arial" w:hAnsi="Arial" w:cs="Arial"/>
        </w:rPr>
      </w:pPr>
      <w:r w:rsidRPr="008505B1">
        <w:rPr>
          <w:rFonts w:ascii="Arial" w:hAnsi="Arial" w:cs="Arial"/>
        </w:rPr>
        <w:t xml:space="preserve">          </w:t>
      </w:r>
      <w:r w:rsidRPr="008505B1">
        <w:rPr>
          <w:rFonts w:ascii="Arial" w:hAnsi="Arial" w:cs="Arial"/>
        </w:rPr>
        <w:tab/>
        <w:t>Pořizovatel prověřil Změnu z hlediska cílů a úkolů dle §</w:t>
      </w:r>
      <w:r w:rsidR="001301AB">
        <w:rPr>
          <w:rFonts w:ascii="Arial" w:hAnsi="Arial" w:cs="Arial"/>
        </w:rPr>
        <w:t xml:space="preserve"> </w:t>
      </w:r>
      <w:r w:rsidRPr="008505B1">
        <w:rPr>
          <w:rFonts w:ascii="Arial" w:hAnsi="Arial" w:cs="Arial"/>
        </w:rPr>
        <w:t xml:space="preserve">18 a </w:t>
      </w:r>
      <w:r w:rsidR="001301AB">
        <w:rPr>
          <w:rFonts w:ascii="Arial" w:hAnsi="Arial" w:cs="Arial"/>
        </w:rPr>
        <w:t xml:space="preserve">§ </w:t>
      </w:r>
      <w:r w:rsidRPr="008505B1">
        <w:rPr>
          <w:rFonts w:ascii="Arial" w:hAnsi="Arial" w:cs="Arial"/>
        </w:rPr>
        <w:t>19 stavebního zákona. Změna je zpracována v souladu s cíli a úkoly územního plánování a koncepcí ochrany nezastavěného území. Koncepce řešení krajiny vychází z přírodních podmínek a historických vazeb v území a Změnou nebyla měněna.</w:t>
      </w:r>
    </w:p>
    <w:p w:rsidR="008505B1" w:rsidRPr="008505B1" w:rsidRDefault="008505B1" w:rsidP="008505B1">
      <w:pPr>
        <w:pStyle w:val="Bezmezer1"/>
        <w:jc w:val="both"/>
        <w:rPr>
          <w:rFonts w:ascii="Arial" w:hAnsi="Arial" w:cs="Arial"/>
        </w:rPr>
      </w:pPr>
      <w:r w:rsidRPr="008505B1">
        <w:rPr>
          <w:rFonts w:ascii="Arial" w:hAnsi="Arial" w:cs="Arial"/>
        </w:rPr>
        <w:t xml:space="preserve">         </w:t>
      </w:r>
      <w:r w:rsidRPr="008505B1">
        <w:rPr>
          <w:rFonts w:ascii="Arial" w:hAnsi="Arial" w:cs="Arial"/>
        </w:rPr>
        <w:tab/>
        <w:t xml:space="preserve">Změna respektuje přírodní hodnoty s legislativní ochranou a podmínky pro prostorové uspořádání a ochranu hodnot území a krajinného rázu, stanovené v platném </w:t>
      </w:r>
      <w:r>
        <w:rPr>
          <w:rFonts w:ascii="Arial" w:hAnsi="Arial" w:cs="Arial"/>
        </w:rPr>
        <w:t>územním plánu</w:t>
      </w:r>
      <w:r w:rsidRPr="008505B1">
        <w:rPr>
          <w:rFonts w:ascii="Arial" w:hAnsi="Arial" w:cs="Arial"/>
        </w:rPr>
        <w:t>.</w:t>
      </w:r>
    </w:p>
    <w:p w:rsidR="008505B1" w:rsidRPr="008505B1" w:rsidRDefault="008505B1" w:rsidP="008505B1">
      <w:pPr>
        <w:pStyle w:val="Bezmezer1"/>
        <w:jc w:val="both"/>
        <w:rPr>
          <w:rFonts w:ascii="Arial" w:hAnsi="Arial" w:cs="Arial"/>
        </w:rPr>
      </w:pPr>
      <w:r w:rsidRPr="008505B1">
        <w:rPr>
          <w:rFonts w:ascii="Arial" w:hAnsi="Arial" w:cs="Arial"/>
        </w:rPr>
        <w:t xml:space="preserve">         </w:t>
      </w:r>
      <w:r w:rsidRPr="008505B1">
        <w:rPr>
          <w:rFonts w:ascii="Arial" w:hAnsi="Arial" w:cs="Arial"/>
        </w:rPr>
        <w:tab/>
        <w:t>Ve volné krajině nejsou navrženy žádné další zastavitelné plochy.</w:t>
      </w:r>
    </w:p>
    <w:p w:rsidR="008505B1" w:rsidRPr="008505B1" w:rsidRDefault="008505B1" w:rsidP="008505B1">
      <w:pPr>
        <w:pStyle w:val="Bezmezer1"/>
        <w:jc w:val="both"/>
        <w:rPr>
          <w:rFonts w:ascii="Arial" w:hAnsi="Arial" w:cs="Arial"/>
        </w:rPr>
      </w:pPr>
      <w:r w:rsidRPr="008505B1">
        <w:rPr>
          <w:rFonts w:ascii="Arial" w:hAnsi="Arial" w:cs="Arial"/>
        </w:rPr>
        <w:t xml:space="preserve">          </w:t>
      </w:r>
      <w:r w:rsidRPr="008505B1">
        <w:rPr>
          <w:rFonts w:ascii="Arial" w:hAnsi="Arial" w:cs="Arial"/>
        </w:rPr>
        <w:tab/>
        <w:t>S navrženým řešením vydal souhlas podle §</w:t>
      </w:r>
      <w:r>
        <w:rPr>
          <w:rFonts w:ascii="Arial" w:hAnsi="Arial" w:cs="Arial"/>
        </w:rPr>
        <w:t xml:space="preserve"> </w:t>
      </w:r>
      <w:r w:rsidRPr="008505B1">
        <w:rPr>
          <w:rFonts w:ascii="Arial" w:hAnsi="Arial" w:cs="Arial"/>
        </w:rPr>
        <w:t xml:space="preserve">5, odst. 2 zákona č. 334/1992 Sb., o ochraně zemědělského půdního fondu, v platném znění, odbor životního prostředí a zemědělství Krajského úřadu Pardubického kraje č.j. </w:t>
      </w:r>
      <w:proofErr w:type="spellStart"/>
      <w:r w:rsidRPr="008505B1">
        <w:rPr>
          <w:rFonts w:ascii="Arial" w:hAnsi="Arial" w:cs="Arial"/>
        </w:rPr>
        <w:t>KrÚ</w:t>
      </w:r>
      <w:proofErr w:type="spellEnd"/>
      <w:r w:rsidRPr="008505B1">
        <w:rPr>
          <w:rFonts w:ascii="Arial" w:hAnsi="Arial" w:cs="Arial"/>
        </w:rPr>
        <w:t xml:space="preserve"> 4439/2023/OŽPZ/</w:t>
      </w:r>
      <w:proofErr w:type="spellStart"/>
      <w:r w:rsidRPr="008505B1">
        <w:rPr>
          <w:rFonts w:ascii="Arial" w:hAnsi="Arial" w:cs="Arial"/>
        </w:rPr>
        <w:t>Bo</w:t>
      </w:r>
      <w:proofErr w:type="spellEnd"/>
      <w:r w:rsidRPr="008505B1">
        <w:rPr>
          <w:rFonts w:ascii="Arial" w:hAnsi="Arial" w:cs="Arial"/>
        </w:rPr>
        <w:t xml:space="preserve"> ze dne 13. 1. 2023.</w:t>
      </w:r>
    </w:p>
    <w:p w:rsidR="008505B1" w:rsidRPr="008505B1" w:rsidRDefault="008505B1" w:rsidP="008505B1">
      <w:pPr>
        <w:pStyle w:val="Bezmezer1"/>
        <w:jc w:val="both"/>
        <w:rPr>
          <w:rFonts w:ascii="Arial" w:hAnsi="Arial" w:cs="Arial"/>
        </w:rPr>
      </w:pPr>
      <w:r w:rsidRPr="008505B1">
        <w:rPr>
          <w:rFonts w:ascii="Arial" w:hAnsi="Arial" w:cs="Arial"/>
        </w:rPr>
        <w:t xml:space="preserve">        </w:t>
      </w:r>
      <w:r w:rsidRPr="008505B1">
        <w:rPr>
          <w:rFonts w:ascii="Arial" w:hAnsi="Arial" w:cs="Arial"/>
        </w:rPr>
        <w:tab/>
        <w:t>Z hlediska zajištění koordinace využívání území s ohledem na širší vztahy, soulad</w:t>
      </w:r>
      <w:r w:rsidR="002E1781">
        <w:rPr>
          <w:rFonts w:ascii="Arial" w:hAnsi="Arial" w:cs="Arial"/>
        </w:rPr>
        <w:t>u</w:t>
      </w:r>
      <w:r w:rsidRPr="008505B1">
        <w:rPr>
          <w:rFonts w:ascii="Arial" w:hAnsi="Arial" w:cs="Arial"/>
        </w:rPr>
        <w:t xml:space="preserve"> s </w:t>
      </w:r>
      <w:r>
        <w:rPr>
          <w:rFonts w:ascii="Arial" w:hAnsi="Arial" w:cs="Arial"/>
        </w:rPr>
        <w:t>P</w:t>
      </w:r>
      <w:r w:rsidRPr="008505B1">
        <w:rPr>
          <w:rFonts w:ascii="Arial" w:hAnsi="Arial" w:cs="Arial"/>
        </w:rPr>
        <w:t>olitik</w:t>
      </w:r>
      <w:r>
        <w:rPr>
          <w:rFonts w:ascii="Arial" w:hAnsi="Arial" w:cs="Arial"/>
        </w:rPr>
        <w:t>ou</w:t>
      </w:r>
      <w:r w:rsidRPr="008505B1">
        <w:rPr>
          <w:rFonts w:ascii="Arial" w:hAnsi="Arial" w:cs="Arial"/>
        </w:rPr>
        <w:t xml:space="preserve"> územního rozvoje ČR </w:t>
      </w:r>
      <w:r>
        <w:rPr>
          <w:rFonts w:ascii="Arial" w:hAnsi="Arial" w:cs="Arial"/>
        </w:rPr>
        <w:t xml:space="preserve">(dále té že jen „PÚR“) </w:t>
      </w:r>
      <w:r w:rsidRPr="008505B1">
        <w:rPr>
          <w:rFonts w:ascii="Arial" w:hAnsi="Arial" w:cs="Arial"/>
        </w:rPr>
        <w:t xml:space="preserve">2008 a </w:t>
      </w:r>
      <w:r>
        <w:rPr>
          <w:rFonts w:ascii="Arial" w:hAnsi="Arial" w:cs="Arial"/>
        </w:rPr>
        <w:t xml:space="preserve">Zásadami územního rozvoje (dále též jen „ZÚR“) </w:t>
      </w:r>
      <w:r w:rsidRPr="008505B1">
        <w:rPr>
          <w:rFonts w:ascii="Arial" w:hAnsi="Arial" w:cs="Arial"/>
        </w:rPr>
        <w:t xml:space="preserve">Pardubického kraje vydal </w:t>
      </w:r>
      <w:r w:rsidR="002E1781">
        <w:rPr>
          <w:rFonts w:ascii="Arial" w:hAnsi="Arial" w:cs="Arial"/>
        </w:rPr>
        <w:t xml:space="preserve">dne 24.1.2023 </w:t>
      </w:r>
      <w:r w:rsidRPr="008505B1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rajský úřad Pardubického kraje </w:t>
      </w:r>
      <w:r w:rsidRPr="008505B1">
        <w:rPr>
          <w:rFonts w:ascii="Arial" w:hAnsi="Arial" w:cs="Arial"/>
        </w:rPr>
        <w:t xml:space="preserve">dne </w:t>
      </w:r>
      <w:r w:rsidRPr="008505B1">
        <w:rPr>
          <w:rFonts w:ascii="Arial" w:hAnsi="Arial" w:cs="Arial"/>
          <w:bCs/>
        </w:rPr>
        <w:t xml:space="preserve">24.1.2023 </w:t>
      </w:r>
      <w:r w:rsidRPr="008505B1">
        <w:rPr>
          <w:rFonts w:ascii="Arial" w:hAnsi="Arial" w:cs="Arial"/>
        </w:rPr>
        <w:t>souhlasné stanovisko</w:t>
      </w:r>
      <w:r w:rsidR="002E1781">
        <w:rPr>
          <w:rFonts w:ascii="Arial" w:hAnsi="Arial" w:cs="Arial"/>
        </w:rPr>
        <w:t xml:space="preserve"> </w:t>
      </w:r>
      <w:r w:rsidR="002E1781" w:rsidRPr="008505B1">
        <w:rPr>
          <w:rFonts w:ascii="Arial" w:hAnsi="Arial" w:cs="Arial"/>
          <w:bCs/>
        </w:rPr>
        <w:t xml:space="preserve">pod čj. </w:t>
      </w:r>
      <w:proofErr w:type="spellStart"/>
      <w:r w:rsidR="002E1781" w:rsidRPr="008505B1">
        <w:rPr>
          <w:rFonts w:ascii="Arial" w:hAnsi="Arial" w:cs="Arial"/>
          <w:bCs/>
        </w:rPr>
        <w:t>KrÚ</w:t>
      </w:r>
      <w:proofErr w:type="spellEnd"/>
      <w:r w:rsidR="002E1781" w:rsidRPr="008505B1">
        <w:rPr>
          <w:rFonts w:ascii="Arial" w:hAnsi="Arial" w:cs="Arial"/>
          <w:bCs/>
        </w:rPr>
        <w:t xml:space="preserve"> 6817/2023.</w:t>
      </w:r>
    </w:p>
    <w:p w:rsidR="008505B1" w:rsidRPr="008505B1" w:rsidRDefault="008505B1" w:rsidP="008505B1">
      <w:pPr>
        <w:pStyle w:val="Bezmezer1"/>
        <w:ind w:left="708"/>
        <w:jc w:val="both"/>
        <w:rPr>
          <w:rFonts w:ascii="Arial" w:hAnsi="Arial" w:cs="Arial"/>
        </w:rPr>
      </w:pPr>
      <w:r w:rsidRPr="008505B1">
        <w:rPr>
          <w:rFonts w:ascii="Arial" w:hAnsi="Arial" w:cs="Arial"/>
        </w:rPr>
        <w:t>K návrhu nebyla podána žádná připomínka, ani námitka.</w:t>
      </w:r>
    </w:p>
    <w:p w:rsidR="008505B1" w:rsidRPr="008505B1" w:rsidRDefault="008505B1" w:rsidP="008505B1">
      <w:pPr>
        <w:pStyle w:val="Bezmezer1"/>
        <w:jc w:val="both"/>
        <w:rPr>
          <w:rFonts w:ascii="Arial" w:hAnsi="Arial" w:cs="Arial"/>
        </w:rPr>
      </w:pPr>
      <w:r w:rsidRPr="008505B1">
        <w:rPr>
          <w:rFonts w:ascii="Arial" w:hAnsi="Arial" w:cs="Arial"/>
        </w:rPr>
        <w:t xml:space="preserve">        </w:t>
      </w:r>
      <w:r w:rsidRPr="008505B1">
        <w:rPr>
          <w:rFonts w:ascii="Arial" w:hAnsi="Arial" w:cs="Arial"/>
        </w:rPr>
        <w:tab/>
        <w:t xml:space="preserve"> Rozpory ve smyslu ust</w:t>
      </w:r>
      <w:r w:rsidR="002E1781">
        <w:rPr>
          <w:rFonts w:ascii="Arial" w:hAnsi="Arial" w:cs="Arial"/>
        </w:rPr>
        <w:t>anovení</w:t>
      </w:r>
      <w:r w:rsidRPr="008505B1">
        <w:rPr>
          <w:rFonts w:ascii="Arial" w:hAnsi="Arial" w:cs="Arial"/>
        </w:rPr>
        <w:t xml:space="preserve"> § 4 odst. 8 stavebního zákona a ust</w:t>
      </w:r>
      <w:r w:rsidR="002E1781">
        <w:rPr>
          <w:rFonts w:ascii="Arial" w:hAnsi="Arial" w:cs="Arial"/>
        </w:rPr>
        <w:t>anovení</w:t>
      </w:r>
      <w:r w:rsidRPr="008505B1">
        <w:rPr>
          <w:rFonts w:ascii="Arial" w:hAnsi="Arial" w:cs="Arial"/>
        </w:rPr>
        <w:t xml:space="preserve"> § 136 odst. 6 </w:t>
      </w:r>
      <w:r w:rsidR="002E1781">
        <w:rPr>
          <w:rFonts w:ascii="Arial" w:hAnsi="Arial" w:cs="Arial"/>
        </w:rPr>
        <w:t xml:space="preserve">zákona č. 500/2004 Sb., správní řád (dále též jen „správní řád“) </w:t>
      </w:r>
      <w:r w:rsidRPr="008505B1">
        <w:rPr>
          <w:rFonts w:ascii="Arial" w:hAnsi="Arial" w:cs="Arial"/>
        </w:rPr>
        <w:t>při projednávání návrhu Změny nebylo nutno řešit.</w:t>
      </w:r>
    </w:p>
    <w:p w:rsidR="008505B1" w:rsidRPr="008505B1" w:rsidRDefault="008505B1" w:rsidP="008505B1">
      <w:pPr>
        <w:jc w:val="both"/>
        <w:rPr>
          <w:rFonts w:ascii="Arial" w:hAnsi="Arial" w:cs="Arial"/>
          <w:sz w:val="22"/>
          <w:szCs w:val="22"/>
        </w:rPr>
      </w:pPr>
      <w:r w:rsidRPr="008505B1">
        <w:rPr>
          <w:rFonts w:ascii="Arial" w:hAnsi="Arial" w:cs="Arial"/>
          <w:b/>
          <w:sz w:val="22"/>
          <w:szCs w:val="22"/>
        </w:rPr>
        <w:t xml:space="preserve">           </w:t>
      </w:r>
      <w:r w:rsidRPr="008505B1">
        <w:rPr>
          <w:rFonts w:ascii="Arial" w:hAnsi="Arial" w:cs="Arial"/>
          <w:b/>
          <w:sz w:val="22"/>
          <w:szCs w:val="22"/>
        </w:rPr>
        <w:tab/>
      </w:r>
      <w:r w:rsidRPr="008505B1">
        <w:rPr>
          <w:rFonts w:ascii="Arial" w:hAnsi="Arial" w:cs="Arial"/>
          <w:sz w:val="22"/>
          <w:szCs w:val="22"/>
        </w:rPr>
        <w:t xml:space="preserve">Návrh Změny je zveřejněný na </w:t>
      </w:r>
      <w:r w:rsidR="001301AB">
        <w:rPr>
          <w:rFonts w:ascii="Arial" w:hAnsi="Arial" w:cs="Arial"/>
          <w:sz w:val="22"/>
          <w:szCs w:val="22"/>
        </w:rPr>
        <w:t xml:space="preserve">webových </w:t>
      </w:r>
      <w:r w:rsidRPr="008505B1">
        <w:rPr>
          <w:rFonts w:ascii="Arial" w:hAnsi="Arial" w:cs="Arial"/>
          <w:sz w:val="22"/>
          <w:szCs w:val="22"/>
        </w:rPr>
        <w:t>stránkách města</w:t>
      </w:r>
      <w:r w:rsidR="001301AB">
        <w:rPr>
          <w:rFonts w:ascii="Arial" w:hAnsi="Arial" w:cs="Arial"/>
          <w:sz w:val="22"/>
          <w:szCs w:val="22"/>
        </w:rPr>
        <w:t xml:space="preserve"> Svitavy</w:t>
      </w:r>
      <w:r w:rsidRPr="008505B1">
        <w:rPr>
          <w:rFonts w:ascii="Arial" w:hAnsi="Arial" w:cs="Arial"/>
          <w:sz w:val="22"/>
          <w:szCs w:val="22"/>
        </w:rPr>
        <w:t xml:space="preserve">, na </w:t>
      </w:r>
      <w:r w:rsidR="001301AB">
        <w:rPr>
          <w:rFonts w:ascii="Arial" w:hAnsi="Arial" w:cs="Arial"/>
          <w:sz w:val="22"/>
          <w:szCs w:val="22"/>
        </w:rPr>
        <w:t xml:space="preserve">webové </w:t>
      </w:r>
      <w:r w:rsidRPr="008505B1">
        <w:rPr>
          <w:rFonts w:ascii="Arial" w:hAnsi="Arial" w:cs="Arial"/>
          <w:sz w:val="22"/>
          <w:szCs w:val="22"/>
        </w:rPr>
        <w:t xml:space="preserve">adrese:  </w:t>
      </w:r>
      <w:hyperlink r:id="rId6" w:history="1">
        <w:r w:rsidRPr="008505B1">
          <w:rPr>
            <w:rStyle w:val="Hypertextovodkaz"/>
            <w:rFonts w:ascii="Arial" w:hAnsi="Arial" w:cs="Arial"/>
            <w:sz w:val="22"/>
            <w:szCs w:val="22"/>
          </w:rPr>
          <w:t>http://www.svitavy.cz/obcan-a-urad/informace/uzemni-plan</w:t>
        </w:r>
      </w:hyperlink>
    </w:p>
    <w:p w:rsidR="008505B1" w:rsidRPr="008505B1" w:rsidRDefault="008505B1" w:rsidP="008505B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6378"/>
        <w:gridCol w:w="1247"/>
      </w:tblGrid>
      <w:tr w:rsidR="008505B1" w:rsidRPr="008505B1" w:rsidTr="008505B1">
        <w:trPr>
          <w:cantSplit/>
          <w:trHeight w:val="20"/>
          <w:tblHeader/>
        </w:trPr>
        <w:tc>
          <w:tcPr>
            <w:tcW w:w="1447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označení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8505B1" w:rsidRPr="008505B1" w:rsidRDefault="008505B1" w:rsidP="008B2C8B">
            <w:pPr>
              <w:pStyle w:val="Bezmezer"/>
              <w:jc w:val="center"/>
              <w:rPr>
                <w:rFonts w:ascii="Arial" w:hAnsi="Arial" w:cs="Arial"/>
              </w:rPr>
            </w:pPr>
            <w:r w:rsidRPr="008505B1">
              <w:rPr>
                <w:rFonts w:ascii="Arial" w:hAnsi="Arial" w:cs="Arial"/>
              </w:rPr>
              <w:t>popis dílčích změn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pct25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katastr. území</w:t>
            </w:r>
          </w:p>
        </w:tc>
      </w:tr>
      <w:tr w:rsidR="008505B1" w:rsidRPr="008505B1" w:rsidTr="008505B1">
        <w:trPr>
          <w:cantSplit/>
          <w:trHeight w:val="340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Z4/1</w:t>
            </w:r>
          </w:p>
        </w:tc>
        <w:tc>
          <w:tcPr>
            <w:tcW w:w="6378" w:type="dxa"/>
            <w:tcBorders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8505B1" w:rsidRPr="00FE5538" w:rsidRDefault="008505B1" w:rsidP="008B2C8B">
            <w:pPr>
              <w:spacing w:before="20" w:line="200" w:lineRule="atLeast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FE5538">
              <w:rPr>
                <w:rFonts w:ascii="Arial" w:hAnsi="Arial" w:cs="Arial"/>
                <w:iCs/>
                <w:sz w:val="22"/>
                <w:szCs w:val="22"/>
              </w:rPr>
              <w:t>dílčí změna byla vypuštěna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05B1" w:rsidRPr="008505B1" w:rsidTr="008505B1">
        <w:trPr>
          <w:cantSplit/>
          <w:trHeight w:val="547"/>
        </w:trPr>
        <w:tc>
          <w:tcPr>
            <w:tcW w:w="1447" w:type="dxa"/>
            <w:tcBorders>
              <w:top w:val="single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Z4/2</w:t>
            </w:r>
          </w:p>
        </w:tc>
        <w:tc>
          <w:tcPr>
            <w:tcW w:w="6378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 xml:space="preserve">změna stabilizované plochy občanského vybavení –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komerční zařízení plošně rozsáhlá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OK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 w:rsidRPr="008505B1">
              <w:rPr>
                <w:rFonts w:ascii="Arial" w:hAnsi="Arial" w:cs="Arial"/>
                <w:sz w:val="22"/>
                <w:szCs w:val="22"/>
              </w:rPr>
              <w:t>a části stabilizované plochy veřejného prostranství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PV</w:t>
            </w:r>
            <w:r w:rsidRPr="008505B1">
              <w:rPr>
                <w:rFonts w:ascii="Arial" w:hAnsi="Arial" w:cs="Arial"/>
                <w:sz w:val="22"/>
                <w:szCs w:val="22"/>
              </w:rPr>
              <w:t>) na plochu přestavby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230</w:t>
            </w:r>
            <w:r w:rsidRPr="008505B1">
              <w:rPr>
                <w:rFonts w:ascii="Arial" w:hAnsi="Arial" w:cs="Arial"/>
                <w:sz w:val="22"/>
                <w:szCs w:val="22"/>
              </w:rPr>
              <w:t>) smíšenou obytnou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SM</w:t>
            </w:r>
            <w:r w:rsidRPr="008505B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Svitavy - předměstí</w:t>
            </w:r>
          </w:p>
        </w:tc>
      </w:tr>
      <w:tr w:rsidR="008505B1" w:rsidRPr="008505B1" w:rsidTr="008505B1">
        <w:trPr>
          <w:cantSplit/>
          <w:trHeight w:val="20"/>
        </w:trPr>
        <w:tc>
          <w:tcPr>
            <w:tcW w:w="1447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Jedná se o záměr vlastníka na přestavbu stávajícího komerčního areálu, zahrnujícího velkosklady a administrativní budovy, na polyfunkční areál (obchod, bydlení, služby, drobná nerušící výroba a parkování). Dílčí změna vytváří, v souladu s prioritami stanovenými v 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PÚR ČR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(čl. 19) a 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ZÚR </w:t>
            </w:r>
            <w:proofErr w:type="spellStart"/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Pk</w:t>
            </w:r>
            <w:proofErr w:type="spellEnd"/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(čl. 6c, 7b), podmínky pro vyvážené a efektivní využívání zastavěného území, doplnění výrazu sídla a urbanistické struktury a revitalizaci bývalého komerčního areálu.</w:t>
            </w:r>
          </w:p>
        </w:tc>
      </w:tr>
      <w:tr w:rsidR="008505B1" w:rsidRPr="008505B1" w:rsidTr="008505B1">
        <w:trPr>
          <w:cantSplit/>
          <w:trHeight w:val="20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Z4/3</w:t>
            </w:r>
          </w:p>
        </w:tc>
        <w:tc>
          <w:tcPr>
            <w:tcW w:w="6378" w:type="dxa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změna částí stabilizované plochy veřejného prostranství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PV</w:t>
            </w:r>
            <w:r w:rsidRPr="008505B1">
              <w:rPr>
                <w:rFonts w:ascii="Arial" w:hAnsi="Arial" w:cs="Arial"/>
                <w:sz w:val="22"/>
                <w:szCs w:val="22"/>
              </w:rPr>
              <w:t>) na stabilizované plochy výroby a skladování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Pr="008505B1">
              <w:rPr>
                <w:rFonts w:ascii="Arial" w:hAnsi="Arial" w:cs="Arial"/>
                <w:sz w:val="22"/>
                <w:szCs w:val="22"/>
              </w:rPr>
              <w:t xml:space="preserve">) na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pozemcích </w:t>
            </w:r>
            <w:proofErr w:type="spellStart"/>
            <w:r w:rsidRPr="008505B1">
              <w:rPr>
                <w:rFonts w:ascii="Arial" w:hAnsi="Arial" w:cs="Arial"/>
                <w:bCs/>
                <w:sz w:val="22"/>
                <w:szCs w:val="22"/>
              </w:rPr>
              <w:t>parc</w:t>
            </w:r>
            <w:proofErr w:type="spellEnd"/>
            <w:r w:rsidRPr="008505B1">
              <w:rPr>
                <w:rFonts w:ascii="Arial" w:hAnsi="Arial" w:cs="Arial"/>
                <w:bCs/>
                <w:sz w:val="22"/>
                <w:szCs w:val="22"/>
              </w:rPr>
              <w:t>. č. 2131/100, 2135/4, 2136/4</w:t>
            </w:r>
          </w:p>
        </w:tc>
        <w:tc>
          <w:tcPr>
            <w:tcW w:w="1247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Svitavy - předměstí</w:t>
            </w:r>
          </w:p>
        </w:tc>
      </w:tr>
      <w:tr w:rsidR="008505B1" w:rsidRPr="008505B1" w:rsidTr="008505B1">
        <w:trPr>
          <w:cantSplit/>
          <w:trHeight w:val="20"/>
        </w:trPr>
        <w:tc>
          <w:tcPr>
            <w:tcW w:w="1447" w:type="dxa"/>
            <w:tcBorders>
              <w:top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bCs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Jedná se o uvedení ÚP do souladu se skutečným stavem. Uvedené pozemky jsou ve vlastnictví žadatele dílčí změny a bezprostředně přiléhají ke stabilizované ploše výroby.</w:t>
            </w:r>
          </w:p>
        </w:tc>
      </w:tr>
      <w:tr w:rsidR="008505B1" w:rsidRPr="008505B1" w:rsidTr="008505B1">
        <w:trPr>
          <w:cantSplit/>
          <w:trHeight w:val="20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Z4/4</w:t>
            </w:r>
          </w:p>
        </w:tc>
        <w:tc>
          <w:tcPr>
            <w:tcW w:w="6378" w:type="dxa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změna části stabilizované plochy veřejného prostranství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PV</w:t>
            </w:r>
            <w:r w:rsidRPr="008505B1">
              <w:rPr>
                <w:rFonts w:ascii="Arial" w:hAnsi="Arial" w:cs="Arial"/>
                <w:sz w:val="22"/>
                <w:szCs w:val="22"/>
              </w:rPr>
              <w:t>) na stabilizovanou plochu smíšenou obytnou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SM</w:t>
            </w:r>
            <w:r w:rsidRPr="008505B1">
              <w:rPr>
                <w:rFonts w:ascii="Arial" w:hAnsi="Arial" w:cs="Arial"/>
                <w:sz w:val="22"/>
                <w:szCs w:val="22"/>
              </w:rPr>
              <w:t xml:space="preserve">) na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pozemcích </w:t>
            </w:r>
            <w:proofErr w:type="spellStart"/>
            <w:r w:rsidRPr="008505B1">
              <w:rPr>
                <w:rFonts w:ascii="Arial" w:hAnsi="Arial" w:cs="Arial"/>
                <w:bCs/>
                <w:sz w:val="22"/>
                <w:szCs w:val="22"/>
              </w:rPr>
              <w:t>parc</w:t>
            </w:r>
            <w:proofErr w:type="spellEnd"/>
            <w:r w:rsidRPr="008505B1">
              <w:rPr>
                <w:rFonts w:ascii="Arial" w:hAnsi="Arial" w:cs="Arial"/>
                <w:bCs/>
                <w:sz w:val="22"/>
                <w:szCs w:val="22"/>
              </w:rPr>
              <w:t>. č. 1403/12, 1403/13</w:t>
            </w:r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aktualizace zastavěného území + související vymezení stabilizovaných ploch:</w:t>
            </w:r>
          </w:p>
          <w:p w:rsidR="008505B1" w:rsidRPr="008505B1" w:rsidRDefault="008505B1" w:rsidP="008505B1">
            <w:pPr>
              <w:numPr>
                <w:ilvl w:val="0"/>
                <w:numId w:val="14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plocha smíšená obytná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SM</w:t>
            </w:r>
            <w:r w:rsidRPr="008505B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505B1" w:rsidRPr="008505B1" w:rsidRDefault="008505B1" w:rsidP="008505B1">
            <w:pPr>
              <w:numPr>
                <w:ilvl w:val="0"/>
                <w:numId w:val="14"/>
              </w:numPr>
              <w:spacing w:before="20" w:line="200" w:lineRule="atLeast"/>
              <w:ind w:left="457" w:hanging="2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plocha veřejného prostranství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PV</w:t>
            </w:r>
            <w:r w:rsidRPr="008505B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související úprava rozsahu zastavitelné plochy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51*</w:t>
            </w:r>
            <w:r w:rsidRPr="008505B1">
              <w:rPr>
                <w:rFonts w:ascii="Arial" w:hAnsi="Arial" w:cs="Arial"/>
                <w:sz w:val="22"/>
                <w:szCs w:val="22"/>
              </w:rPr>
              <w:t>), vymezené v platném ÚP pro plochu smíšenou obytnou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SM</w:t>
            </w:r>
            <w:r w:rsidRPr="008505B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Čtyřicet Lánů</w:t>
            </w:r>
          </w:p>
        </w:tc>
      </w:tr>
      <w:tr w:rsidR="008505B1" w:rsidRPr="008505B1" w:rsidTr="008505B1">
        <w:trPr>
          <w:cantSplit/>
          <w:trHeight w:val="20"/>
        </w:trPr>
        <w:tc>
          <w:tcPr>
            <w:tcW w:w="1447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bCs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Na pozemcích </w:t>
            </w:r>
            <w:proofErr w:type="spellStart"/>
            <w:r w:rsidRPr="008505B1">
              <w:rPr>
                <w:rFonts w:ascii="Arial" w:hAnsi="Arial" w:cs="Arial"/>
                <w:bCs/>
                <w:sz w:val="22"/>
                <w:szCs w:val="22"/>
              </w:rPr>
              <w:t>parc</w:t>
            </w:r>
            <w:proofErr w:type="spellEnd"/>
            <w:r w:rsidRPr="008505B1">
              <w:rPr>
                <w:rFonts w:ascii="Arial" w:hAnsi="Arial" w:cs="Arial"/>
                <w:bCs/>
                <w:sz w:val="22"/>
                <w:szCs w:val="22"/>
              </w:rPr>
              <w:t>. č. 1403/12, 1403/13 byla v platném ÚP vymezena stabilizovaná plocha veřejného prostranství, ve které bylo uvažováno s realizací místní obslužné komunikace. Vzhledem k realizaci dětského hřiště, v rámci opravy Svitavského stadionu, nelze komunikaci v původně vymezené ploše vybudovat (daná komunikace by neměla pokračování). Z tohoto důvodu se uvedené pozemky staly součástí stavebního pozemku pro bydlení a dílčí změna tak uvádí ÚP do souladu se skutečným stavem.</w:t>
            </w:r>
          </w:p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bCs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Aktualizace zastavěného území vyplývá z platné legislativy, související vymezení stabilizovaných ploch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SM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PV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uvádí ÚP do souladu se skutečným stavem po částečné realizaci záměru. V této souvislosti je také upraven rozsah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51*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).</w:t>
            </w:r>
          </w:p>
        </w:tc>
      </w:tr>
      <w:tr w:rsidR="008505B1" w:rsidRPr="008505B1" w:rsidTr="008505B1">
        <w:trPr>
          <w:cantSplit/>
          <w:trHeight w:val="20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Z4/5</w:t>
            </w:r>
          </w:p>
        </w:tc>
        <w:tc>
          <w:tcPr>
            <w:tcW w:w="6378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změna části stabilizované plochy veřejného prostranství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PV</w:t>
            </w:r>
            <w:r w:rsidRPr="008505B1">
              <w:rPr>
                <w:rFonts w:ascii="Arial" w:hAnsi="Arial" w:cs="Arial"/>
                <w:sz w:val="22"/>
                <w:szCs w:val="22"/>
              </w:rPr>
              <w:t>) na plochu přestavby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231</w:t>
            </w:r>
            <w:r w:rsidRPr="008505B1">
              <w:rPr>
                <w:rFonts w:ascii="Arial" w:hAnsi="Arial" w:cs="Arial"/>
                <w:sz w:val="22"/>
                <w:szCs w:val="22"/>
              </w:rPr>
              <w:t>) smíšenou výrobní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VS</w:t>
            </w:r>
            <w:r w:rsidRPr="008505B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Svitavy - předměstí</w:t>
            </w:r>
          </w:p>
        </w:tc>
      </w:tr>
      <w:tr w:rsidR="008505B1" w:rsidRPr="008505B1" w:rsidTr="008505B1">
        <w:trPr>
          <w:cantSplit/>
          <w:trHeight w:val="20"/>
        </w:trPr>
        <w:tc>
          <w:tcPr>
            <w:tcW w:w="1447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Jedná se o záměr na rozšíření výrobního areálu v lokalitě Tolstého, ve vhodném území u dráhy, bez dopadu na obytné prostředí. Dílčí změna vytváří, v souladu s prioritami stanovenými v 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PÚR ČR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(čl. 17, 19) a 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ZÚR </w:t>
            </w:r>
            <w:proofErr w:type="spellStart"/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Pk</w:t>
            </w:r>
            <w:proofErr w:type="spellEnd"/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(čl. 7b), podmínky pro hospodářský rozvoj a pro vyvážené a efektivní využívání zastavěného území.</w:t>
            </w:r>
          </w:p>
        </w:tc>
      </w:tr>
      <w:tr w:rsidR="008505B1" w:rsidRPr="008505B1" w:rsidTr="008505B1">
        <w:trPr>
          <w:cantSplit/>
          <w:trHeight w:val="20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Z4/6</w:t>
            </w:r>
          </w:p>
        </w:tc>
        <w:tc>
          <w:tcPr>
            <w:tcW w:w="6378" w:type="dxa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rozdělení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123*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), vymezené v platném ÚP pro občanské vybavení – komerční zařízení plošně rozsáhlá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OK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), na dvě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123a*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+ 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123b*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+ změna využití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123a*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na občanské vybavení – veřejná infrastruktura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OV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Svitavy - předměstí</w:t>
            </w:r>
          </w:p>
        </w:tc>
      </w:tr>
      <w:tr w:rsidR="008505B1" w:rsidRPr="008505B1" w:rsidTr="008505B1">
        <w:trPr>
          <w:cantSplit/>
          <w:trHeight w:val="20"/>
        </w:trPr>
        <w:tc>
          <w:tcPr>
            <w:tcW w:w="1447" w:type="dxa"/>
            <w:tcBorders>
              <w:top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lastRenderedPageBreak/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Rozdělení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123*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bylo provedeno tak, aby bylo, v části původně vymezené rozvojové plochy navazující na plánovanou přeložku silnice I/43, umožněno provést změnu využití na občanské vybavení – veřejná infrastruktura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OV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). Důvodem je záměr na </w:t>
            </w:r>
            <w:r w:rsidRPr="008505B1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vybudování společného areálu záchranné služby a hasičského záchranného sboru s napojením na plánovanou komunikaci I/43.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Dílčí změna vytváří, v souladu s prioritami stanovenými v 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PÚR ČR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(čl. 27, 28) a 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ZÚR </w:t>
            </w:r>
            <w:proofErr w:type="spellStart"/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Pk</w:t>
            </w:r>
            <w:proofErr w:type="spellEnd"/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(čl. 7a), podmínky pro posílení kvality života obyvatel a vybavení sídla potřebnou veřejnou infrastrukturou. Realizací stanoviště integrovaného záchranného systému dojde ke zrychlení možnosti zásahů na budoucí dálnici D35 a přeložce silnice I/43.</w:t>
            </w:r>
          </w:p>
        </w:tc>
      </w:tr>
      <w:tr w:rsidR="008505B1" w:rsidRPr="008505B1" w:rsidTr="008505B1">
        <w:trPr>
          <w:cantSplit/>
          <w:trHeight w:val="969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Z4/7</w:t>
            </w:r>
          </w:p>
        </w:tc>
        <w:tc>
          <w:tcPr>
            <w:tcW w:w="6378" w:type="dxa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 xml:space="preserve">změna části stabilizované plochy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občanské vybavení – komerční zařízení malá a střední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OM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8505B1">
              <w:rPr>
                <w:rFonts w:ascii="Arial" w:hAnsi="Arial" w:cs="Arial"/>
                <w:sz w:val="22"/>
                <w:szCs w:val="22"/>
              </w:rPr>
              <w:t xml:space="preserve"> na stabilizovanou plochu smíšenou obytnou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SM</w:t>
            </w:r>
            <w:r w:rsidRPr="008505B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 xml:space="preserve">změna části stabilizované plochy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občanské vybavení – veřejná infrastruktura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OV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8505B1">
              <w:rPr>
                <w:rFonts w:ascii="Arial" w:hAnsi="Arial" w:cs="Arial"/>
                <w:sz w:val="22"/>
                <w:szCs w:val="22"/>
              </w:rPr>
              <w:t xml:space="preserve"> na stabilizovanou plochu smíšenou obytnou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SM</w:t>
            </w:r>
            <w:r w:rsidRPr="008505B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Svitavy - předměstí</w:t>
            </w:r>
          </w:p>
        </w:tc>
      </w:tr>
      <w:tr w:rsidR="008505B1" w:rsidRPr="008505B1" w:rsidTr="008505B1">
        <w:trPr>
          <w:cantSplit/>
          <w:trHeight w:val="797"/>
        </w:trPr>
        <w:tc>
          <w:tcPr>
            <w:tcW w:w="1447" w:type="dxa"/>
            <w:tcBorders>
              <w:top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bCs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Jedná se o uvedení ÚP do souladu se skutečným stavem. Dle aktuální mapy KN, se v předmětné lokalitě (ul. Uzavřená) nachází stavby rodinných domů. Z tohoto důvodu byly části území převedeny do stabilizovaných ploch smíšených obytných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SM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).</w:t>
            </w:r>
          </w:p>
        </w:tc>
      </w:tr>
      <w:tr w:rsidR="008505B1" w:rsidRPr="008505B1" w:rsidTr="008505B1">
        <w:trPr>
          <w:cantSplit/>
          <w:trHeight w:val="564"/>
        </w:trPr>
        <w:tc>
          <w:tcPr>
            <w:tcW w:w="1447" w:type="dxa"/>
            <w:tcBorders>
              <w:top w:val="single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Z4/8</w:t>
            </w:r>
          </w:p>
        </w:tc>
        <w:tc>
          <w:tcPr>
            <w:tcW w:w="6378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změna části stabilizované plochy smíšené výrobní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VS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 w:rsidRPr="008505B1">
              <w:rPr>
                <w:rFonts w:ascii="Arial" w:hAnsi="Arial" w:cs="Arial"/>
                <w:sz w:val="22"/>
                <w:szCs w:val="22"/>
              </w:rPr>
              <w:t>na plochu přestavby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232</w:t>
            </w:r>
            <w:r w:rsidRPr="008505B1">
              <w:rPr>
                <w:rFonts w:ascii="Arial" w:hAnsi="Arial" w:cs="Arial"/>
                <w:sz w:val="22"/>
                <w:szCs w:val="22"/>
              </w:rPr>
              <w:t>) smíšenou obytnou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SM</w:t>
            </w:r>
            <w:r w:rsidRPr="008505B1">
              <w:rPr>
                <w:rFonts w:ascii="Arial" w:hAnsi="Arial" w:cs="Arial"/>
                <w:sz w:val="22"/>
                <w:szCs w:val="22"/>
              </w:rPr>
              <w:t>) a stabilizovanou plochu veřejného prostranství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PV</w:t>
            </w:r>
            <w:r w:rsidRPr="008505B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Svitavy - předměstí</w:t>
            </w:r>
          </w:p>
        </w:tc>
      </w:tr>
      <w:tr w:rsidR="008505B1" w:rsidRPr="008505B1" w:rsidTr="008505B1">
        <w:trPr>
          <w:cantSplit/>
          <w:trHeight w:val="1676"/>
        </w:trPr>
        <w:tc>
          <w:tcPr>
            <w:tcW w:w="1447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Jedná se o záměr vlastníka na přestavbu části bývalého výrobního areálu na bydlení. Dílčí změna vytváří, v souladu s prioritami stanovenými v 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PÚR ČR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(čl. 19) a 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ZÚR </w:t>
            </w:r>
            <w:proofErr w:type="spellStart"/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Pk</w:t>
            </w:r>
            <w:proofErr w:type="spellEnd"/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(čl. 6c, 7b), podmínky pro vyvážené a efektivní využívání zastavěného území, doplnění výrazu sídla a urbanistické struktury a revitalizaci bývalého výrobního areálu.</w:t>
            </w:r>
          </w:p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Související vymezení stabilizované plochy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PV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uvádí ÚP do souladu se skutečným stavem a zahrnuje stávající prostranství s obslužnou komunikací v ul. Dimitrovova, ze které bude řešena obsluha navazující plochy přestavby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232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).</w:t>
            </w:r>
          </w:p>
        </w:tc>
      </w:tr>
      <w:tr w:rsidR="008505B1" w:rsidRPr="008505B1" w:rsidTr="008505B1">
        <w:trPr>
          <w:cantSplit/>
          <w:trHeight w:val="1046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112680128"/>
            <w:r w:rsidRPr="008505B1">
              <w:rPr>
                <w:rFonts w:ascii="Arial" w:hAnsi="Arial" w:cs="Arial"/>
                <w:b/>
                <w:sz w:val="22"/>
                <w:szCs w:val="22"/>
              </w:rPr>
              <w:t>Z4/9a</w:t>
            </w:r>
          </w:p>
        </w:tc>
        <w:tc>
          <w:tcPr>
            <w:tcW w:w="6378" w:type="dxa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 xml:space="preserve">aktualizace zastavěného území + související vymezení stabilizované plochy pro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občanské vybavení – komerční zařízení plošně rozsáhlá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OK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související úprava rozsahu zastavitelné plochy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59*</w:t>
            </w:r>
            <w:r w:rsidRPr="008505B1">
              <w:rPr>
                <w:rFonts w:ascii="Arial" w:hAnsi="Arial" w:cs="Arial"/>
                <w:sz w:val="22"/>
                <w:szCs w:val="22"/>
              </w:rPr>
              <w:t xml:space="preserve">), vymezené v platném ÚP pro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občanské vybavení – komerční zařízení plošně rozsáhlá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OK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Čtyřicet Lánů</w:t>
            </w:r>
          </w:p>
        </w:tc>
      </w:tr>
      <w:tr w:rsidR="008505B1" w:rsidRPr="008505B1" w:rsidTr="008505B1">
        <w:trPr>
          <w:cantSplit/>
          <w:trHeight w:val="868"/>
        </w:trPr>
        <w:tc>
          <w:tcPr>
            <w:tcW w:w="1447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Aktualizace zastavěného území vyplývá z platné legislativy, související vymezení stabilizované plochy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OK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uvádí ÚP do souladu se skutečným stavem po částečné realizaci záměru. V této souvislosti je také upraven rozsah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59*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).</w:t>
            </w:r>
          </w:p>
        </w:tc>
      </w:tr>
      <w:tr w:rsidR="008505B1" w:rsidRPr="008505B1" w:rsidTr="008505B1">
        <w:trPr>
          <w:cantSplit/>
          <w:trHeight w:val="780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Z4/9b</w:t>
            </w:r>
          </w:p>
        </w:tc>
        <w:tc>
          <w:tcPr>
            <w:tcW w:w="6378" w:type="dxa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aktualizace zastavěného území + související vymezení stabilizované plochy specifické - střelnice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XS</w:t>
            </w:r>
            <w:r w:rsidRPr="008505B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související zrušení zastavitelné plochy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163</w:t>
            </w:r>
            <w:r w:rsidRPr="008505B1">
              <w:rPr>
                <w:rFonts w:ascii="Arial" w:hAnsi="Arial" w:cs="Arial"/>
                <w:sz w:val="22"/>
                <w:szCs w:val="22"/>
              </w:rPr>
              <w:t>) specifické - střelnice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XS</w:t>
            </w:r>
            <w:r w:rsidRPr="008505B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Čtyřicet Lánů</w:t>
            </w:r>
          </w:p>
        </w:tc>
      </w:tr>
      <w:tr w:rsidR="008505B1" w:rsidRPr="008505B1" w:rsidTr="008505B1">
        <w:trPr>
          <w:cantSplit/>
          <w:trHeight w:val="794"/>
        </w:trPr>
        <w:tc>
          <w:tcPr>
            <w:tcW w:w="1447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Aktualizace zastavěného území vyplývá z platné legislativy, související vymezení stabilizované plochy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XS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uvádí ÚP do souladu se skutečným stavem po realizaci záměru. V této souvislosti je také zrušena zastavitelná plocha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163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).</w:t>
            </w:r>
          </w:p>
        </w:tc>
      </w:tr>
      <w:bookmarkEnd w:id="1"/>
      <w:tr w:rsidR="008505B1" w:rsidRPr="008505B1" w:rsidTr="008505B1">
        <w:trPr>
          <w:cantSplit/>
          <w:trHeight w:val="622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lastRenderedPageBreak/>
              <w:t>Z4/10</w:t>
            </w:r>
          </w:p>
        </w:tc>
        <w:tc>
          <w:tcPr>
            <w:tcW w:w="6378" w:type="dxa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změna části stabilizované plochy smíšené nezastavěného území – zemědělské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NS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 w:rsidRPr="008505B1">
              <w:rPr>
                <w:rFonts w:ascii="Arial" w:hAnsi="Arial" w:cs="Arial"/>
                <w:sz w:val="22"/>
                <w:szCs w:val="22"/>
              </w:rPr>
              <w:t>na zastavitelnou plochu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233</w:t>
            </w:r>
            <w:r w:rsidRPr="008505B1">
              <w:rPr>
                <w:rFonts w:ascii="Arial" w:hAnsi="Arial" w:cs="Arial"/>
                <w:sz w:val="22"/>
                <w:szCs w:val="22"/>
              </w:rPr>
              <w:t>) výroby a skladování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Pr="008505B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Svitavy - předměstí</w:t>
            </w:r>
          </w:p>
        </w:tc>
      </w:tr>
      <w:tr w:rsidR="008505B1" w:rsidRPr="008505B1" w:rsidTr="008505B1">
        <w:trPr>
          <w:cantSplit/>
          <w:trHeight w:val="2993"/>
        </w:trPr>
        <w:tc>
          <w:tcPr>
            <w:tcW w:w="1447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bCs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Jedná se o záměr na rozšíření výrobního areálu v lokalitě Pražská, v území bez dopadu na obytné prostředí. Vymezení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233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umožňuje rozvoj a zlepšení obsluhy (</w:t>
            </w:r>
            <w:r w:rsidRPr="008505B1">
              <w:rPr>
                <w:rFonts w:ascii="Arial" w:hAnsi="Arial" w:cs="Arial"/>
                <w:bCs/>
                <w:iCs/>
                <w:sz w:val="22"/>
                <w:szCs w:val="22"/>
              </w:rPr>
              <w:t>vybudování nové přístupové komunikace)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navazujícího stabilizovaného výrobního areálu.</w:t>
            </w:r>
          </w:p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bCs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Dílčí změna vytváří, v souladu s prioritou stanovenou v 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PÚR ČR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(čl. 17), podmínky pro hospodářský rozvoj. Záměr je v souladu s nadřazenou ÚPD (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ZÚR </w:t>
            </w:r>
            <w:proofErr w:type="spellStart"/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Pk</w:t>
            </w:r>
            <w:proofErr w:type="spellEnd"/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). Dle 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ZÚR </w:t>
            </w:r>
            <w:proofErr w:type="spellStart"/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Pk</w:t>
            </w:r>
            <w:proofErr w:type="spellEnd"/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patří Svitavy do území vykazujícího relativně vyšší míru problémů, zejména z hlediska udržitelného rozvoje území. 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ZÚR </w:t>
            </w:r>
            <w:proofErr w:type="spellStart"/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Pk</w:t>
            </w:r>
            <w:proofErr w:type="spellEnd"/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zařazují Svitavy do </w:t>
            </w:r>
            <w:r w:rsidRPr="008505B1">
              <w:rPr>
                <w:rFonts w:ascii="Arial" w:hAnsi="Arial" w:cs="Arial"/>
                <w:bCs/>
                <w:i/>
                <w:sz w:val="22"/>
                <w:szCs w:val="22"/>
              </w:rPr>
              <w:t>rozvojové osy republikového významu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OS 9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a stanovují tyto zásady pro usměrňování územního rozvoje a rozhodování o změnách v území:</w:t>
            </w:r>
          </w:p>
          <w:p w:rsidR="008505B1" w:rsidRPr="008505B1" w:rsidRDefault="008505B1" w:rsidP="008505B1">
            <w:pPr>
              <w:numPr>
                <w:ilvl w:val="0"/>
                <w:numId w:val="15"/>
              </w:numPr>
              <w:spacing w:line="200" w:lineRule="atLeast"/>
              <w:ind w:left="175" w:right="34" w:hanging="14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  <w:u w:val="single"/>
              </w:rPr>
              <w:t>rozvoj ekonomických aktivit soustřeďovat do Svitav</w:t>
            </w:r>
          </w:p>
          <w:p w:rsidR="008505B1" w:rsidRPr="008505B1" w:rsidRDefault="008505B1" w:rsidP="008B2C8B">
            <w:pPr>
              <w:spacing w:before="60" w:line="200" w:lineRule="atLeast"/>
              <w:ind w:right="34"/>
              <w:rPr>
                <w:rFonts w:ascii="Arial" w:hAnsi="Arial" w:cs="Arial"/>
                <w:bCs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ZÚR </w:t>
            </w:r>
            <w:proofErr w:type="spellStart"/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Pk</w:t>
            </w:r>
            <w:proofErr w:type="spellEnd"/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dále vymezují město Svitavy jako střední centrum, které je centrem rozvojové oblasti a stanovují mj. tyto zásady pro usměrňování územního rozvoje a rozhodování o změnách v území:</w:t>
            </w:r>
          </w:p>
          <w:p w:rsidR="008505B1" w:rsidRPr="008505B1" w:rsidRDefault="008505B1" w:rsidP="008B2C8B">
            <w:pPr>
              <w:spacing w:before="20" w:line="200" w:lineRule="atLeast"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  <w:u w:val="single"/>
              </w:rPr>
              <w:t>rozvíjet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bydlení a </w:t>
            </w:r>
            <w:r w:rsidRPr="008505B1">
              <w:rPr>
                <w:rFonts w:ascii="Arial" w:hAnsi="Arial" w:cs="Arial"/>
                <w:bCs/>
                <w:sz w:val="22"/>
                <w:szCs w:val="22"/>
                <w:u w:val="single"/>
              </w:rPr>
              <w:t>ekonomické aktivity, zejména aktivity v oblasti výroby a služeb vytvářející větší počet pracovních příležitostí</w:t>
            </w:r>
          </w:p>
        </w:tc>
      </w:tr>
      <w:tr w:rsidR="008505B1" w:rsidRPr="008505B1" w:rsidTr="008505B1">
        <w:trPr>
          <w:cantSplit/>
          <w:trHeight w:val="989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Z4/11</w:t>
            </w:r>
          </w:p>
        </w:tc>
        <w:tc>
          <w:tcPr>
            <w:tcW w:w="6378" w:type="dxa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zrušení koridoru technické infrastruktury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16TK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), vymezeného v platném ÚP pro přeložku nadzemního vedení el. energie 22 </w:t>
            </w:r>
            <w:proofErr w:type="spellStart"/>
            <w:r w:rsidRPr="008505B1">
              <w:rPr>
                <w:rFonts w:ascii="Arial" w:hAnsi="Arial" w:cs="Arial"/>
                <w:bCs/>
                <w:sz w:val="22"/>
                <w:szCs w:val="22"/>
              </w:rPr>
              <w:t>kV</w:t>
            </w:r>
            <w:proofErr w:type="spellEnd"/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 xml:space="preserve">související zrušení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veřejně prospěšné stavby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VT10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), vymezené v platném ÚP pro přeložku nadzemního vedení el. energie </w:t>
            </w:r>
            <w:proofErr w:type="spellStart"/>
            <w:r w:rsidRPr="008505B1">
              <w:rPr>
                <w:rFonts w:ascii="Arial" w:hAnsi="Arial" w:cs="Arial"/>
                <w:bCs/>
                <w:sz w:val="22"/>
                <w:szCs w:val="22"/>
              </w:rPr>
              <w:t>vn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Moravský Lačnov</w:t>
            </w:r>
          </w:p>
        </w:tc>
      </w:tr>
      <w:tr w:rsidR="008505B1" w:rsidRPr="008505B1" w:rsidTr="008505B1">
        <w:trPr>
          <w:cantSplit/>
          <w:trHeight w:val="988"/>
        </w:trPr>
        <w:tc>
          <w:tcPr>
            <w:tcW w:w="1447" w:type="dxa"/>
            <w:tcBorders>
              <w:top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 xml:space="preserve">Jedná se o požadavek na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zrušení koridoru technické infrastruktury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16TK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a související zrušení veřejně prospěšné stavby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VT10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). Důvodem je blokování </w:t>
            </w:r>
            <w:r w:rsidRPr="008505B1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možnosti výstavby v zahrádkářské kolonii Pod Hrází. Pokud by někdy byla přeložka nadzemního vedení el. energie </w:t>
            </w:r>
            <w:proofErr w:type="spellStart"/>
            <w:r w:rsidRPr="008505B1">
              <w:rPr>
                <w:rFonts w:ascii="Arial" w:hAnsi="Arial" w:cs="Arial"/>
                <w:bCs/>
                <w:iCs/>
                <w:sz w:val="22"/>
                <w:szCs w:val="22"/>
              </w:rPr>
              <w:t>vn</w:t>
            </w:r>
            <w:proofErr w:type="spellEnd"/>
            <w:r w:rsidRPr="008505B1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realizována, bude provedena formou podzemního kabelu a vymezený koridor tak nemá nadále opodstatnění.</w:t>
            </w:r>
          </w:p>
        </w:tc>
      </w:tr>
      <w:tr w:rsidR="008505B1" w:rsidRPr="008505B1" w:rsidTr="008505B1">
        <w:trPr>
          <w:cantSplit/>
          <w:trHeight w:val="20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bookmarkStart w:id="2" w:name="_Hlk112850695"/>
            <w:r w:rsidRPr="008505B1">
              <w:rPr>
                <w:rFonts w:ascii="Arial" w:hAnsi="Arial" w:cs="Arial"/>
                <w:b/>
                <w:sz w:val="22"/>
                <w:szCs w:val="22"/>
              </w:rPr>
              <w:lastRenderedPageBreak/>
              <w:t>Z4/12</w:t>
            </w:r>
          </w:p>
        </w:tc>
        <w:tc>
          <w:tcPr>
            <w:tcW w:w="6378" w:type="dxa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rozdělení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47*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), vymezené v platném ÚP pro bydlení v rodinných domech – městské a příměstské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BI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), na dvě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47a*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+ 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47b*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+ změna využití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47b*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na plochu bydlení – kombinované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související vymezení stabilizované plochy dopravní infrastruktury specifické – hlavní účelové komunikace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DU</w:t>
            </w:r>
            <w:r w:rsidRPr="008505B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související úprava navazující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193</w:t>
            </w:r>
            <w:r w:rsidRPr="008505B1">
              <w:rPr>
                <w:rFonts w:ascii="Arial" w:hAnsi="Arial" w:cs="Arial"/>
                <w:sz w:val="22"/>
                <w:szCs w:val="22"/>
              </w:rPr>
              <w:t xml:space="preserve">), vymezené v platném ÚP pro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bydlení v rodinných domech – městské a příměstské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BI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související úprava navazující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199</w:t>
            </w:r>
            <w:r w:rsidRPr="008505B1">
              <w:rPr>
                <w:rFonts w:ascii="Arial" w:hAnsi="Arial" w:cs="Arial"/>
                <w:sz w:val="22"/>
                <w:szCs w:val="22"/>
              </w:rPr>
              <w:t xml:space="preserve">), vymezené v platném ÚP pro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plochu veřejné (sídelní) zeleně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ZV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související úprava rozsahu a rozdělení navazující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200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), vymezené v platném ÚP pro veřejnou (sídelní) zeleň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ZV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), na tři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200a*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+ 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200b*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+ 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200c*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související úprava hranice specifické oblasti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X2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), vymezené v platném ÚP pro 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specifickou oblast s prioritou revitalizace krajinného rázu</w:t>
            </w:r>
          </w:p>
        </w:tc>
        <w:tc>
          <w:tcPr>
            <w:tcW w:w="1247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Svitavy – předměstí</w:t>
            </w:r>
          </w:p>
          <w:p w:rsidR="008505B1" w:rsidRPr="008505B1" w:rsidRDefault="008505B1" w:rsidP="008B2C8B">
            <w:pPr>
              <w:spacing w:before="6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Čtyřicet Lánů</w:t>
            </w:r>
          </w:p>
        </w:tc>
      </w:tr>
      <w:tr w:rsidR="008505B1" w:rsidRPr="008505B1" w:rsidTr="008505B1">
        <w:trPr>
          <w:cantSplit/>
          <w:trHeight w:val="20"/>
        </w:trPr>
        <w:tc>
          <w:tcPr>
            <w:tcW w:w="1447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bCs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Rozdělení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47*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bylo provedeno tak, aby bylo, na jižním okraji původně vymezené rozvojové plochy, možno provést změnu využití na plochu bydlení - kombinované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). Důvodem je záměr na realizaci 13 nízkopodlažních bytových domů vilového charakteru, dle zpracované podrobnější dokumentace. Dílčí změna umožňuje umisťování jak bytových, tak rodinných domů.</w:t>
            </w:r>
          </w:p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Vymezení stabilizované plochy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DU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uvádí ÚP do souladu se skutečným stavem a zahrnuje stávající účelovou komunikaci, která bezprostředně navazuje na upravovanou zastavitelnou plochu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47*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). V této souvislosti byl také upraven rozsah dalších navazujících zastavitelných ploch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193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a 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199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), byla provedena úprava rozsahu a rozdělení navazující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200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na tři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200a*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+ 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200b*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+ 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200c*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a úprava hranice specifické oblasti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X2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).</w:t>
            </w:r>
          </w:p>
        </w:tc>
      </w:tr>
      <w:tr w:rsidR="008505B1" w:rsidRPr="008505B1" w:rsidTr="008505B1">
        <w:trPr>
          <w:cantSplit/>
          <w:trHeight w:val="20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Z4/13a</w:t>
            </w:r>
          </w:p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Z4/13b</w:t>
            </w:r>
          </w:p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Z4/13c</w:t>
            </w:r>
          </w:p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505B1">
              <w:rPr>
                <w:rFonts w:ascii="Arial" w:hAnsi="Arial" w:cs="Arial"/>
                <w:b/>
                <w:sz w:val="22"/>
                <w:szCs w:val="22"/>
              </w:rPr>
              <w:t>Z4/13d</w:t>
            </w:r>
          </w:p>
        </w:tc>
        <w:tc>
          <w:tcPr>
            <w:tcW w:w="6378" w:type="dxa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zrušení podmínky zpracování územní studie pro zastavitelnou plochu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58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zrušení podmínky zpracování územní studie pro zastavitelnou plochu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111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zrušení podmínky zpracování územní studie pro specifickou oblast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X1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42" w:hanging="24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zrušení podmínky zpracování územní studie pro specifickou oblast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X2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Svitavy – předměstí</w:t>
            </w:r>
          </w:p>
          <w:p w:rsidR="008505B1" w:rsidRPr="008505B1" w:rsidRDefault="008505B1" w:rsidP="008B2C8B">
            <w:pPr>
              <w:spacing w:before="6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Čtyřicet Lánů</w:t>
            </w:r>
          </w:p>
        </w:tc>
      </w:tr>
      <w:tr w:rsidR="008505B1" w:rsidRPr="008505B1" w:rsidTr="008505B1">
        <w:trPr>
          <w:cantSplit/>
          <w:trHeight w:val="20"/>
        </w:trPr>
        <w:tc>
          <w:tcPr>
            <w:tcW w:w="1447" w:type="dxa"/>
            <w:tcBorders>
              <w:top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lastRenderedPageBreak/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bCs/>
                <w:sz w:val="22"/>
                <w:szCs w:val="22"/>
              </w:rPr>
            </w:pPr>
            <w:bookmarkStart w:id="3" w:name="_Hlk112853989"/>
            <w:r w:rsidRPr="008505B1">
              <w:rPr>
                <w:rFonts w:ascii="Arial" w:hAnsi="Arial" w:cs="Arial"/>
                <w:bCs/>
                <w:sz w:val="22"/>
                <w:szCs w:val="22"/>
              </w:rPr>
              <w:t>V rámci změny č. 4 byla prověřena potřeba stanovení podmínky zpracování územní studie pro zastavitelné plochy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58</w:t>
            </w:r>
            <w:r w:rsidRPr="008505B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111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). Jedná se o plochu smíšenou výrobní (</w:t>
            </w:r>
            <w:r w:rsidRPr="008505B1">
              <w:rPr>
                <w:rFonts w:ascii="Arial" w:hAnsi="Arial" w:cs="Arial"/>
                <w:b/>
                <w:sz w:val="22"/>
                <w:szCs w:val="22"/>
              </w:rPr>
              <w:t>VS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a plochu občanského vybavení – komerční zařízení plošně rozsáhlá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OK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). Vzhledem ke skutečnosti, že jsou obě plochy vymezeny v území mezi stávající železniční tratí a navrženou přeložkou silnice I/43 (tyto aktivity jsou zde směrovány i v rámci </w:t>
            </w:r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ZÚR </w:t>
            </w:r>
            <w:proofErr w:type="spellStart"/>
            <w:r w:rsidRPr="008505B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Pk</w:t>
            </w:r>
            <w:proofErr w:type="spellEnd"/>
            <w:r w:rsidRPr="008505B1">
              <w:rPr>
                <w:rFonts w:ascii="Arial" w:hAnsi="Arial" w:cs="Arial"/>
                <w:bCs/>
                <w:sz w:val="22"/>
                <w:szCs w:val="22"/>
              </w:rPr>
              <w:t>), bez dopadů na obytné prostředí a hodnoty území, byla podmínka zpracování územní studie pro obě plochy zrušena.</w:t>
            </w:r>
          </w:p>
          <w:p w:rsidR="008505B1" w:rsidRPr="008505B1" w:rsidRDefault="008505B1" w:rsidP="008B2C8B">
            <w:pPr>
              <w:spacing w:before="20" w:line="200" w:lineRule="atLeast"/>
              <w:ind w:right="34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bCs/>
                <w:sz w:val="22"/>
                <w:szCs w:val="22"/>
              </w:rPr>
              <w:t>Podmínka zpracování územní studie pro specifické oblasti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X1</w:t>
            </w:r>
            <w:r w:rsidRPr="008505B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X2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) byla rovněž zrušena. </w:t>
            </w:r>
            <w:bookmarkEnd w:id="3"/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Důvodem je jednak skutečnost, že </w:t>
            </w:r>
            <w:r w:rsidRPr="008505B1">
              <w:rPr>
                <w:rFonts w:ascii="Arial" w:hAnsi="Arial" w:cs="Arial"/>
                <w:sz w:val="22"/>
                <w:szCs w:val="22"/>
              </w:rPr>
              <w:t xml:space="preserve">je zpracována a zaregistrována ÚS veřejných prostranství pro západní území města Svitavy, zahrnující částečně území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specifických oblastí,</w:t>
            </w:r>
            <w:r w:rsidRPr="008505B1">
              <w:rPr>
                <w:rFonts w:ascii="Arial" w:hAnsi="Arial" w:cs="Arial"/>
                <w:sz w:val="22"/>
                <w:szCs w:val="22"/>
              </w:rPr>
              <w:t xml:space="preserve"> a dále zejména proto, že 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aktuálně probíhá zpracování ÚS krajiny ORP Svitavy, zahrnující celé řešené území, a podmínka zpracování územní studie pro specifické oblasti (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X1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 xml:space="preserve"> a </w:t>
            </w:r>
            <w:r w:rsidRPr="008505B1">
              <w:rPr>
                <w:rFonts w:ascii="Arial" w:hAnsi="Arial" w:cs="Arial"/>
                <w:b/>
                <w:bCs/>
                <w:sz w:val="22"/>
                <w:szCs w:val="22"/>
              </w:rPr>
              <w:t>X2</w:t>
            </w:r>
            <w:r w:rsidRPr="008505B1">
              <w:rPr>
                <w:rFonts w:ascii="Arial" w:hAnsi="Arial" w:cs="Arial"/>
                <w:bCs/>
                <w:sz w:val="22"/>
                <w:szCs w:val="22"/>
              </w:rPr>
              <w:t>) tak pozbývá smysl.</w:t>
            </w:r>
          </w:p>
        </w:tc>
      </w:tr>
      <w:bookmarkEnd w:id="2"/>
    </w:tbl>
    <w:p w:rsidR="008505B1" w:rsidRPr="008505B1" w:rsidRDefault="008505B1" w:rsidP="008505B1">
      <w:pPr>
        <w:spacing w:line="200" w:lineRule="atLeast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6588"/>
        <w:gridCol w:w="1037"/>
      </w:tblGrid>
      <w:tr w:rsidR="008505B1" w:rsidRPr="008505B1" w:rsidTr="008B2C8B">
        <w:trPr>
          <w:cantSplit/>
          <w:trHeight w:val="397"/>
          <w:tblHeader/>
        </w:trPr>
        <w:tc>
          <w:tcPr>
            <w:tcW w:w="8035" w:type="dxa"/>
            <w:gridSpan w:val="2"/>
            <w:tcBorders>
              <w:right w:val="nil"/>
            </w:tcBorders>
            <w:shd w:val="pct25" w:color="auto" w:fill="auto"/>
            <w:vAlign w:val="center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ostatní dílčí změny (bez identifikace)</w:t>
            </w:r>
          </w:p>
        </w:tc>
        <w:tc>
          <w:tcPr>
            <w:tcW w:w="1037" w:type="dxa"/>
            <w:tcBorders>
              <w:left w:val="nil"/>
            </w:tcBorders>
            <w:shd w:val="pct25" w:color="auto" w:fill="auto"/>
            <w:vAlign w:val="center"/>
          </w:tcPr>
          <w:p w:rsidR="008505B1" w:rsidRPr="008505B1" w:rsidRDefault="008505B1" w:rsidP="008B2C8B">
            <w:pPr>
              <w:spacing w:before="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05B1" w:rsidRPr="008505B1" w:rsidTr="002E1781">
        <w:trPr>
          <w:cantSplit/>
          <w:trHeight w:val="340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8505B1" w:rsidRPr="008505B1" w:rsidRDefault="008505B1" w:rsidP="008B2C8B">
            <w:pPr>
              <w:spacing w:before="20"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7625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52" w:hanging="25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doplnění ploch změn v krajině do výkresu základního členění území</w:t>
            </w:r>
          </w:p>
        </w:tc>
      </w:tr>
      <w:tr w:rsidR="008505B1" w:rsidRPr="008505B1" w:rsidTr="002E1781">
        <w:trPr>
          <w:cantSplit/>
          <w:trHeight w:val="340"/>
        </w:trPr>
        <w:tc>
          <w:tcPr>
            <w:tcW w:w="1447" w:type="dxa"/>
            <w:tcBorders>
              <w:top w:val="dashed" w:sz="4" w:space="0" w:color="auto"/>
              <w:right w:val="nil"/>
            </w:tcBorders>
            <w:shd w:val="clear" w:color="auto" w:fill="auto"/>
            <w:vAlign w:val="center"/>
          </w:tcPr>
          <w:p w:rsidR="008505B1" w:rsidRPr="008505B1" w:rsidRDefault="008505B1" w:rsidP="008B2C8B">
            <w:pPr>
              <w:spacing w:before="20"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8505B1" w:rsidRPr="008505B1" w:rsidRDefault="008505B1" w:rsidP="008B2C8B">
            <w:pPr>
              <w:spacing w:before="4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Doplněno na základě obsahu přílohy č. 7 k </w:t>
            </w:r>
            <w:proofErr w:type="spellStart"/>
            <w:r w:rsidRPr="008505B1">
              <w:rPr>
                <w:rFonts w:ascii="Arial" w:hAnsi="Arial" w:cs="Arial"/>
                <w:sz w:val="22"/>
                <w:szCs w:val="22"/>
              </w:rPr>
              <w:t>vyhl</w:t>
            </w:r>
            <w:proofErr w:type="spellEnd"/>
            <w:r w:rsidRPr="008505B1">
              <w:rPr>
                <w:rFonts w:ascii="Arial" w:hAnsi="Arial" w:cs="Arial"/>
                <w:sz w:val="22"/>
                <w:szCs w:val="22"/>
              </w:rPr>
              <w:t>. č. 500/2006 Sb. Provedená úprava se v grafické části ÚP plně projeví až v úplném znění po vydání změny č. 4, neboť se změny č. 4 fakticky netýká - všechny plochy změn v krajině byly řešeny v platném ÚP a změna č. 4 se jich nedotýká.</w:t>
            </w:r>
          </w:p>
        </w:tc>
      </w:tr>
      <w:tr w:rsidR="008505B1" w:rsidRPr="008505B1" w:rsidTr="002E1781">
        <w:trPr>
          <w:cantSplit/>
          <w:trHeight w:val="340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8505B1" w:rsidRPr="008505B1" w:rsidRDefault="008505B1" w:rsidP="008B2C8B">
            <w:pPr>
              <w:spacing w:before="20"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7625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52" w:hanging="25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aktualizace technické infrastruktury dle aktuálních ÚAP</w:t>
            </w:r>
          </w:p>
        </w:tc>
      </w:tr>
      <w:tr w:rsidR="008505B1" w:rsidRPr="008505B1" w:rsidTr="002E1781">
        <w:trPr>
          <w:cantSplit/>
          <w:trHeight w:val="340"/>
        </w:trPr>
        <w:tc>
          <w:tcPr>
            <w:tcW w:w="1447" w:type="dxa"/>
            <w:tcBorders>
              <w:top w:val="dashed" w:sz="4" w:space="0" w:color="auto"/>
              <w:right w:val="nil"/>
            </w:tcBorders>
            <w:shd w:val="clear" w:color="auto" w:fill="auto"/>
            <w:vAlign w:val="center"/>
          </w:tcPr>
          <w:p w:rsidR="008505B1" w:rsidRPr="008505B1" w:rsidRDefault="008505B1" w:rsidP="008B2C8B">
            <w:pPr>
              <w:spacing w:before="20"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8505B1" w:rsidRPr="008505B1" w:rsidRDefault="008505B1" w:rsidP="008B2C8B">
            <w:pPr>
              <w:spacing w:before="4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Aktualizováno dle platné legislativy.</w:t>
            </w:r>
          </w:p>
        </w:tc>
      </w:tr>
      <w:tr w:rsidR="008505B1" w:rsidRPr="008505B1" w:rsidTr="002E1781">
        <w:trPr>
          <w:cantSplit/>
          <w:trHeight w:val="340"/>
        </w:trPr>
        <w:tc>
          <w:tcPr>
            <w:tcW w:w="1447" w:type="dxa"/>
            <w:tcBorders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8505B1" w:rsidRPr="008505B1" w:rsidRDefault="008505B1" w:rsidP="008B2C8B">
            <w:pPr>
              <w:spacing w:before="20"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7625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8505B1" w:rsidRPr="008505B1" w:rsidRDefault="008505B1" w:rsidP="008505B1">
            <w:pPr>
              <w:numPr>
                <w:ilvl w:val="0"/>
                <w:numId w:val="13"/>
              </w:numPr>
              <w:spacing w:before="20" w:line="200" w:lineRule="atLeast"/>
              <w:ind w:left="252" w:hanging="25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aktualizace limitů využití území dle aktuálních ÚAP</w:t>
            </w:r>
          </w:p>
        </w:tc>
      </w:tr>
      <w:tr w:rsidR="008505B1" w:rsidRPr="008505B1" w:rsidTr="002E1781">
        <w:trPr>
          <w:cantSplit/>
          <w:trHeight w:val="340"/>
        </w:trPr>
        <w:tc>
          <w:tcPr>
            <w:tcW w:w="1447" w:type="dxa"/>
            <w:tcBorders>
              <w:top w:val="dashed" w:sz="4" w:space="0" w:color="auto"/>
              <w:right w:val="nil"/>
            </w:tcBorders>
            <w:shd w:val="clear" w:color="auto" w:fill="auto"/>
            <w:vAlign w:val="center"/>
          </w:tcPr>
          <w:p w:rsidR="008505B1" w:rsidRPr="008505B1" w:rsidRDefault="008505B1" w:rsidP="008B2C8B">
            <w:pPr>
              <w:spacing w:before="20"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odůvodnění</w:t>
            </w:r>
          </w:p>
        </w:tc>
        <w:tc>
          <w:tcPr>
            <w:tcW w:w="7625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8505B1" w:rsidRPr="008505B1" w:rsidRDefault="008505B1" w:rsidP="008B2C8B">
            <w:pPr>
              <w:spacing w:before="40" w:line="200" w:lineRule="atLeast"/>
              <w:rPr>
                <w:rFonts w:ascii="Arial" w:hAnsi="Arial" w:cs="Arial"/>
                <w:sz w:val="22"/>
                <w:szCs w:val="22"/>
              </w:rPr>
            </w:pPr>
            <w:r w:rsidRPr="008505B1">
              <w:rPr>
                <w:rFonts w:ascii="Arial" w:hAnsi="Arial" w:cs="Arial"/>
                <w:sz w:val="22"/>
                <w:szCs w:val="22"/>
              </w:rPr>
              <w:t>Aktualizováno dle platné legislativy.</w:t>
            </w:r>
          </w:p>
        </w:tc>
      </w:tr>
    </w:tbl>
    <w:p w:rsidR="008505B1" w:rsidRPr="008505B1" w:rsidRDefault="008505B1" w:rsidP="008505B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iCs/>
          <w:sz w:val="22"/>
          <w:szCs w:val="22"/>
        </w:rPr>
      </w:pPr>
    </w:p>
    <w:p w:rsidR="008505B1" w:rsidRPr="002E1781" w:rsidRDefault="008505B1" w:rsidP="008505B1">
      <w:pPr>
        <w:pStyle w:val="Zkladntext3"/>
        <w:ind w:firstLine="720"/>
        <w:rPr>
          <w:rFonts w:ascii="Arial" w:hAnsi="Arial" w:cs="Arial"/>
          <w:bCs/>
          <w:i w:val="0"/>
          <w:iCs w:val="0"/>
          <w:sz w:val="22"/>
          <w:szCs w:val="22"/>
        </w:rPr>
      </w:pPr>
      <w:r w:rsidRPr="002E1781">
        <w:rPr>
          <w:rFonts w:ascii="Arial" w:hAnsi="Arial" w:cs="Arial"/>
          <w:bCs/>
          <w:i w:val="0"/>
          <w:iCs w:val="0"/>
          <w:sz w:val="22"/>
          <w:szCs w:val="22"/>
        </w:rPr>
        <w:t xml:space="preserve">Do kompletních materiálů vztahujících se k projednávané Změně lze nahlédnout na úřadu územního plánování Městského úřadu Svitavy (Dagmar Korcová, tel. 461 550 291, email: </w:t>
      </w:r>
      <w:hyperlink r:id="rId7" w:history="1">
        <w:r w:rsidRPr="002E1781">
          <w:rPr>
            <w:rStyle w:val="Hypertextovodkaz"/>
            <w:rFonts w:ascii="Arial" w:hAnsi="Arial" w:cs="Arial"/>
            <w:bCs/>
            <w:i w:val="0"/>
            <w:iCs w:val="0"/>
            <w:sz w:val="22"/>
            <w:szCs w:val="22"/>
          </w:rPr>
          <w:t>dagmar.korcova@svitavy.cz</w:t>
        </w:r>
      </w:hyperlink>
      <w:r w:rsidRPr="002E1781">
        <w:rPr>
          <w:rFonts w:ascii="Arial" w:hAnsi="Arial" w:cs="Arial"/>
          <w:bCs/>
          <w:i w:val="0"/>
          <w:iCs w:val="0"/>
          <w:sz w:val="22"/>
          <w:szCs w:val="22"/>
        </w:rPr>
        <w:t>) nebo při jednání zastupitelstva města dne 20.3.2023, kde budou rovněž k dispozici.</w:t>
      </w:r>
    </w:p>
    <w:p w:rsidR="008505B1" w:rsidRPr="008505B1" w:rsidRDefault="008505B1" w:rsidP="008505B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iCs/>
          <w:sz w:val="22"/>
          <w:szCs w:val="22"/>
        </w:rPr>
      </w:pPr>
    </w:p>
    <w:p w:rsidR="008505B1" w:rsidRPr="002E1781" w:rsidRDefault="008505B1" w:rsidP="008505B1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2E1781">
        <w:rPr>
          <w:rFonts w:ascii="Arial" w:hAnsi="Arial" w:cs="Arial"/>
          <w:i w:val="0"/>
          <w:iCs w:val="0"/>
          <w:sz w:val="22"/>
          <w:szCs w:val="22"/>
        </w:rPr>
        <w:t xml:space="preserve">Příloha: </w:t>
      </w:r>
    </w:p>
    <w:p w:rsidR="008505B1" w:rsidRPr="002E1781" w:rsidRDefault="008505B1" w:rsidP="008505B1">
      <w:pPr>
        <w:pStyle w:val="Zkladntext3"/>
        <w:numPr>
          <w:ilvl w:val="0"/>
          <w:numId w:val="16"/>
        </w:numPr>
        <w:rPr>
          <w:rFonts w:ascii="Arial" w:hAnsi="Arial" w:cs="Arial"/>
          <w:i w:val="0"/>
          <w:iCs w:val="0"/>
          <w:sz w:val="22"/>
          <w:szCs w:val="22"/>
        </w:rPr>
      </w:pPr>
      <w:r w:rsidRPr="002E1781">
        <w:rPr>
          <w:rFonts w:ascii="Arial" w:hAnsi="Arial" w:cs="Arial"/>
          <w:i w:val="0"/>
          <w:iCs w:val="0"/>
          <w:sz w:val="22"/>
          <w:szCs w:val="22"/>
        </w:rPr>
        <w:t>Prezentace s lokalizací a popisem jednotlivých lokalit Změny</w:t>
      </w:r>
    </w:p>
    <w:p w:rsidR="008505B1" w:rsidRDefault="008505B1" w:rsidP="008505B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iCs/>
        </w:rPr>
      </w:pPr>
    </w:p>
    <w:p w:rsidR="008505B1" w:rsidRPr="00521CEC" w:rsidRDefault="008505B1" w:rsidP="008505B1">
      <w:pPr>
        <w:rPr>
          <w:rFonts w:ascii="Arial" w:hAnsi="Arial" w:cs="Arial"/>
        </w:rPr>
      </w:pPr>
      <w:r w:rsidRPr="00521CEC">
        <w:rPr>
          <w:rFonts w:ascii="Arial" w:hAnsi="Arial" w:cs="Arial"/>
          <w:b/>
        </w:rPr>
        <w:t>Návrh na usnesení</w:t>
      </w:r>
      <w:r w:rsidRPr="00521CEC">
        <w:rPr>
          <w:rFonts w:ascii="Arial" w:hAnsi="Arial" w:cs="Arial"/>
        </w:rPr>
        <w:t>:</w:t>
      </w:r>
    </w:p>
    <w:p w:rsidR="008505B1" w:rsidRPr="00521CEC" w:rsidRDefault="008505B1" w:rsidP="008505B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521CEC">
        <w:rPr>
          <w:rFonts w:ascii="Arial" w:hAnsi="Arial" w:cs="Arial"/>
        </w:rPr>
        <w:t>Zastupitelstvo města</w:t>
      </w:r>
    </w:p>
    <w:p w:rsidR="008505B1" w:rsidRPr="00521CEC" w:rsidRDefault="008505B1" w:rsidP="008505B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p w:rsidR="008505B1" w:rsidRPr="00521CEC" w:rsidRDefault="008505B1" w:rsidP="008505B1">
      <w:pPr>
        <w:numPr>
          <w:ilvl w:val="0"/>
          <w:numId w:val="17"/>
        </w:numPr>
        <w:jc w:val="both"/>
        <w:rPr>
          <w:rFonts w:ascii="Arial" w:hAnsi="Arial" w:cs="Arial"/>
          <w:b/>
          <w:bCs/>
        </w:rPr>
      </w:pPr>
      <w:bookmarkStart w:id="4" w:name="Text4"/>
      <w:r w:rsidRPr="00521CEC">
        <w:rPr>
          <w:rFonts w:ascii="Arial" w:hAnsi="Arial" w:cs="Arial"/>
          <w:b/>
          <w:bCs/>
        </w:rPr>
        <w:t>ověřuje</w:t>
      </w:r>
    </w:p>
    <w:p w:rsidR="008505B1" w:rsidRPr="00521CEC" w:rsidRDefault="008505B1" w:rsidP="008505B1">
      <w:pPr>
        <w:tabs>
          <w:tab w:val="num" w:pos="720"/>
        </w:tabs>
        <w:ind w:left="709" w:hanging="567"/>
        <w:jc w:val="both"/>
        <w:rPr>
          <w:rFonts w:ascii="Arial" w:hAnsi="Arial" w:cs="Arial"/>
          <w:b/>
        </w:rPr>
      </w:pPr>
      <w:r w:rsidRPr="00521CEC">
        <w:rPr>
          <w:rFonts w:ascii="Arial" w:hAnsi="Arial" w:cs="Arial"/>
          <w:bCs/>
        </w:rPr>
        <w:t xml:space="preserve">       </w:t>
      </w:r>
      <w:r>
        <w:rPr>
          <w:rFonts w:ascii="Arial" w:hAnsi="Arial" w:cs="Arial"/>
          <w:bCs/>
        </w:rPr>
        <w:t xml:space="preserve">  </w:t>
      </w:r>
      <w:r w:rsidRPr="00521CEC">
        <w:rPr>
          <w:rFonts w:ascii="Arial" w:hAnsi="Arial" w:cs="Arial"/>
          <w:b/>
        </w:rPr>
        <w:t xml:space="preserve">soulad Změny č. </w:t>
      </w:r>
      <w:r>
        <w:rPr>
          <w:rFonts w:ascii="Arial" w:hAnsi="Arial" w:cs="Arial"/>
          <w:b/>
        </w:rPr>
        <w:t>4</w:t>
      </w:r>
      <w:r w:rsidRPr="00521CEC">
        <w:rPr>
          <w:rFonts w:ascii="Arial" w:hAnsi="Arial" w:cs="Arial"/>
          <w:b/>
        </w:rPr>
        <w:t xml:space="preserve"> Územního plánu Svitavy s Politikou územního rozvoje ČR, se Zásadami územního rozvoje Pardubického kraje, se stanovisky dotčených orgánů a se stanoviskem Krajského úřadu Pardubického kraje.</w:t>
      </w:r>
    </w:p>
    <w:p w:rsidR="008505B1" w:rsidRPr="00521CEC" w:rsidRDefault="008505B1" w:rsidP="008505B1">
      <w:pPr>
        <w:numPr>
          <w:ilvl w:val="0"/>
          <w:numId w:val="17"/>
        </w:numPr>
        <w:jc w:val="both"/>
        <w:rPr>
          <w:rFonts w:ascii="Arial" w:hAnsi="Arial" w:cs="Arial"/>
          <w:b/>
          <w:bCs/>
        </w:rPr>
      </w:pPr>
      <w:r w:rsidRPr="00521CEC">
        <w:rPr>
          <w:rFonts w:ascii="Arial" w:hAnsi="Arial" w:cs="Arial"/>
          <w:b/>
          <w:bCs/>
        </w:rPr>
        <w:t>vydává</w:t>
      </w:r>
    </w:p>
    <w:p w:rsidR="008505B1" w:rsidRPr="00521CEC" w:rsidRDefault="008505B1" w:rsidP="008505B1">
      <w:pPr>
        <w:pStyle w:val="Odstavecseseznamem1"/>
        <w:widowControl w:val="0"/>
        <w:tabs>
          <w:tab w:val="num" w:pos="709"/>
        </w:tabs>
        <w:autoSpaceDE w:val="0"/>
        <w:autoSpaceDN w:val="0"/>
        <w:adjustRightInd w:val="0"/>
        <w:ind w:left="709" w:right="144" w:hanging="425"/>
        <w:jc w:val="both"/>
        <w:rPr>
          <w:rFonts w:ascii="Arial" w:hAnsi="Arial" w:cs="Arial"/>
          <w:b/>
        </w:rPr>
      </w:pPr>
      <w:r w:rsidRPr="00521CEC">
        <w:rPr>
          <w:rFonts w:ascii="Arial" w:hAnsi="Arial" w:cs="Arial"/>
        </w:rPr>
        <w:t xml:space="preserve">      </w:t>
      </w:r>
      <w:r w:rsidRPr="00521CEC">
        <w:rPr>
          <w:rFonts w:ascii="Arial" w:hAnsi="Arial" w:cs="Arial"/>
          <w:b/>
        </w:rPr>
        <w:t xml:space="preserve">formou opatření obecné povahy Změnu č. </w:t>
      </w:r>
      <w:r>
        <w:rPr>
          <w:rFonts w:ascii="Arial" w:hAnsi="Arial" w:cs="Arial"/>
          <w:b/>
        </w:rPr>
        <w:t>4</w:t>
      </w:r>
      <w:r w:rsidRPr="00521CEC">
        <w:rPr>
          <w:rFonts w:ascii="Arial" w:hAnsi="Arial" w:cs="Arial"/>
          <w:b/>
        </w:rPr>
        <w:t xml:space="preserve"> Územního plánu Svitavy. </w:t>
      </w:r>
    </w:p>
    <w:bookmarkEnd w:id="4"/>
    <w:p w:rsidR="008505B1" w:rsidRPr="00521CEC" w:rsidRDefault="008505B1" w:rsidP="008505B1">
      <w:pPr>
        <w:jc w:val="right"/>
        <w:rPr>
          <w:rFonts w:ascii="Arial" w:hAnsi="Arial" w:cs="Arial"/>
          <w:b/>
        </w:rPr>
      </w:pPr>
      <w:r w:rsidRPr="00521CEC">
        <w:rPr>
          <w:rFonts w:ascii="Arial" w:hAnsi="Arial" w:cs="Arial"/>
          <w:b/>
        </w:rPr>
        <w:t>Z: vedoucí odboru výstavby</w:t>
      </w:r>
    </w:p>
    <w:p w:rsidR="008505B1" w:rsidRDefault="008505B1" w:rsidP="008505B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iCs/>
        </w:rPr>
      </w:pPr>
    </w:p>
    <w:p w:rsidR="008505B1" w:rsidRDefault="008505B1" w:rsidP="007B2774">
      <w:pPr>
        <w:jc w:val="both"/>
        <w:rPr>
          <w:rFonts w:ascii="Arial" w:hAnsi="Arial" w:cs="Arial"/>
          <w:bCs/>
          <w:sz w:val="22"/>
          <w:szCs w:val="22"/>
        </w:rPr>
      </w:pPr>
    </w:p>
    <w:p w:rsidR="008505B1" w:rsidRDefault="008505B1" w:rsidP="007B2774">
      <w:pPr>
        <w:jc w:val="both"/>
        <w:rPr>
          <w:rFonts w:ascii="Arial" w:hAnsi="Arial" w:cs="Arial"/>
          <w:bCs/>
          <w:sz w:val="22"/>
          <w:szCs w:val="22"/>
        </w:rPr>
      </w:pPr>
    </w:p>
    <w:sectPr w:rsidR="008505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B09"/>
    <w:multiLevelType w:val="hybridMultilevel"/>
    <w:tmpl w:val="084825D8"/>
    <w:lvl w:ilvl="0" w:tplc="4A4A8AB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83D0B"/>
    <w:multiLevelType w:val="hybridMultilevel"/>
    <w:tmpl w:val="200823B0"/>
    <w:lvl w:ilvl="0" w:tplc="ADA8AF0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928E2"/>
    <w:multiLevelType w:val="hybridMultilevel"/>
    <w:tmpl w:val="3AC043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531FB"/>
    <w:multiLevelType w:val="hybridMultilevel"/>
    <w:tmpl w:val="34DAE49C"/>
    <w:lvl w:ilvl="0" w:tplc="ADA8AF0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D3DD2"/>
    <w:multiLevelType w:val="hybridMultilevel"/>
    <w:tmpl w:val="D034E386"/>
    <w:lvl w:ilvl="0" w:tplc="8766C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F1B47"/>
    <w:multiLevelType w:val="hybridMultilevel"/>
    <w:tmpl w:val="AE348922"/>
    <w:lvl w:ilvl="0" w:tplc="0405000F">
      <w:start w:val="1"/>
      <w:numFmt w:val="decimal"/>
      <w:lvlText w:val="%1."/>
      <w:lvlJc w:val="left"/>
      <w:pPr>
        <w:ind w:left="1361" w:hanging="360"/>
      </w:pPr>
    </w:lvl>
    <w:lvl w:ilvl="1" w:tplc="04050019" w:tentative="1">
      <w:start w:val="1"/>
      <w:numFmt w:val="lowerLetter"/>
      <w:lvlText w:val="%2."/>
      <w:lvlJc w:val="left"/>
      <w:pPr>
        <w:ind w:left="2081" w:hanging="360"/>
      </w:pPr>
    </w:lvl>
    <w:lvl w:ilvl="2" w:tplc="0405001B" w:tentative="1">
      <w:start w:val="1"/>
      <w:numFmt w:val="lowerRoman"/>
      <w:lvlText w:val="%3."/>
      <w:lvlJc w:val="right"/>
      <w:pPr>
        <w:ind w:left="2801" w:hanging="180"/>
      </w:pPr>
    </w:lvl>
    <w:lvl w:ilvl="3" w:tplc="0405000F" w:tentative="1">
      <w:start w:val="1"/>
      <w:numFmt w:val="decimal"/>
      <w:lvlText w:val="%4."/>
      <w:lvlJc w:val="left"/>
      <w:pPr>
        <w:ind w:left="3521" w:hanging="360"/>
      </w:pPr>
    </w:lvl>
    <w:lvl w:ilvl="4" w:tplc="04050019" w:tentative="1">
      <w:start w:val="1"/>
      <w:numFmt w:val="lowerLetter"/>
      <w:lvlText w:val="%5."/>
      <w:lvlJc w:val="left"/>
      <w:pPr>
        <w:ind w:left="4241" w:hanging="360"/>
      </w:pPr>
    </w:lvl>
    <w:lvl w:ilvl="5" w:tplc="0405001B" w:tentative="1">
      <w:start w:val="1"/>
      <w:numFmt w:val="lowerRoman"/>
      <w:lvlText w:val="%6."/>
      <w:lvlJc w:val="right"/>
      <w:pPr>
        <w:ind w:left="4961" w:hanging="180"/>
      </w:pPr>
    </w:lvl>
    <w:lvl w:ilvl="6" w:tplc="0405000F" w:tentative="1">
      <w:start w:val="1"/>
      <w:numFmt w:val="decimal"/>
      <w:lvlText w:val="%7."/>
      <w:lvlJc w:val="left"/>
      <w:pPr>
        <w:ind w:left="5681" w:hanging="360"/>
      </w:pPr>
    </w:lvl>
    <w:lvl w:ilvl="7" w:tplc="04050019" w:tentative="1">
      <w:start w:val="1"/>
      <w:numFmt w:val="lowerLetter"/>
      <w:lvlText w:val="%8."/>
      <w:lvlJc w:val="left"/>
      <w:pPr>
        <w:ind w:left="6401" w:hanging="360"/>
      </w:pPr>
    </w:lvl>
    <w:lvl w:ilvl="8" w:tplc="040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" w15:restartNumberingAfterBreak="0">
    <w:nsid w:val="3A133A3A"/>
    <w:multiLevelType w:val="hybridMultilevel"/>
    <w:tmpl w:val="1D581F5C"/>
    <w:lvl w:ilvl="0" w:tplc="FFFFFFFF">
      <w:start w:val="1"/>
      <w:numFmt w:val="lowerLetter"/>
      <w:lvlText w:val="%1)"/>
      <w:lvlJc w:val="left"/>
      <w:pPr>
        <w:tabs>
          <w:tab w:val="num" w:pos="1006"/>
        </w:tabs>
        <w:ind w:left="10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3C0265D6"/>
    <w:multiLevelType w:val="hybridMultilevel"/>
    <w:tmpl w:val="20662FA6"/>
    <w:lvl w:ilvl="0" w:tplc="0405000F">
      <w:start w:val="1"/>
      <w:numFmt w:val="decimal"/>
      <w:lvlText w:val="%1."/>
      <w:lvlJc w:val="left"/>
      <w:pPr>
        <w:ind w:left="1361" w:hanging="360"/>
      </w:pPr>
    </w:lvl>
    <w:lvl w:ilvl="1" w:tplc="04050019" w:tentative="1">
      <w:start w:val="1"/>
      <w:numFmt w:val="lowerLetter"/>
      <w:lvlText w:val="%2."/>
      <w:lvlJc w:val="left"/>
      <w:pPr>
        <w:ind w:left="2081" w:hanging="360"/>
      </w:pPr>
    </w:lvl>
    <w:lvl w:ilvl="2" w:tplc="0405001B" w:tentative="1">
      <w:start w:val="1"/>
      <w:numFmt w:val="lowerRoman"/>
      <w:lvlText w:val="%3."/>
      <w:lvlJc w:val="right"/>
      <w:pPr>
        <w:ind w:left="2801" w:hanging="180"/>
      </w:pPr>
    </w:lvl>
    <w:lvl w:ilvl="3" w:tplc="0405000F" w:tentative="1">
      <w:start w:val="1"/>
      <w:numFmt w:val="decimal"/>
      <w:lvlText w:val="%4."/>
      <w:lvlJc w:val="left"/>
      <w:pPr>
        <w:ind w:left="3521" w:hanging="360"/>
      </w:pPr>
    </w:lvl>
    <w:lvl w:ilvl="4" w:tplc="04050019" w:tentative="1">
      <w:start w:val="1"/>
      <w:numFmt w:val="lowerLetter"/>
      <w:lvlText w:val="%5."/>
      <w:lvlJc w:val="left"/>
      <w:pPr>
        <w:ind w:left="4241" w:hanging="360"/>
      </w:pPr>
    </w:lvl>
    <w:lvl w:ilvl="5" w:tplc="0405001B" w:tentative="1">
      <w:start w:val="1"/>
      <w:numFmt w:val="lowerRoman"/>
      <w:lvlText w:val="%6."/>
      <w:lvlJc w:val="right"/>
      <w:pPr>
        <w:ind w:left="4961" w:hanging="180"/>
      </w:pPr>
    </w:lvl>
    <w:lvl w:ilvl="6" w:tplc="0405000F" w:tentative="1">
      <w:start w:val="1"/>
      <w:numFmt w:val="decimal"/>
      <w:lvlText w:val="%7."/>
      <w:lvlJc w:val="left"/>
      <w:pPr>
        <w:ind w:left="5681" w:hanging="360"/>
      </w:pPr>
    </w:lvl>
    <w:lvl w:ilvl="7" w:tplc="04050019" w:tentative="1">
      <w:start w:val="1"/>
      <w:numFmt w:val="lowerLetter"/>
      <w:lvlText w:val="%8."/>
      <w:lvlJc w:val="left"/>
      <w:pPr>
        <w:ind w:left="6401" w:hanging="360"/>
      </w:pPr>
    </w:lvl>
    <w:lvl w:ilvl="8" w:tplc="040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8" w15:restartNumberingAfterBreak="0">
    <w:nsid w:val="42B318D3"/>
    <w:multiLevelType w:val="hybridMultilevel"/>
    <w:tmpl w:val="01AC887E"/>
    <w:lvl w:ilvl="0" w:tplc="A14C631A">
      <w:start w:val="2"/>
      <w:numFmt w:val="bullet"/>
      <w:lvlText w:val="-"/>
      <w:lvlJc w:val="left"/>
      <w:pPr>
        <w:ind w:left="61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9" w15:restartNumberingAfterBreak="0">
    <w:nsid w:val="45B15317"/>
    <w:multiLevelType w:val="hybridMultilevel"/>
    <w:tmpl w:val="3A9E163A"/>
    <w:lvl w:ilvl="0" w:tplc="8766C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84D64"/>
    <w:multiLevelType w:val="hybridMultilevel"/>
    <w:tmpl w:val="DA7ED7EC"/>
    <w:lvl w:ilvl="0" w:tplc="2CA4E1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A592F"/>
    <w:multiLevelType w:val="hybridMultilevel"/>
    <w:tmpl w:val="9476DBF6"/>
    <w:lvl w:ilvl="0" w:tplc="C85E72EA">
      <w:start w:val="1"/>
      <w:numFmt w:val="lowerLetter"/>
      <w:lvlText w:val="%1)"/>
      <w:lvlJc w:val="left"/>
      <w:pPr>
        <w:ind w:left="1001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721" w:hanging="360"/>
      </w:pPr>
    </w:lvl>
    <w:lvl w:ilvl="2" w:tplc="0405001B" w:tentative="1">
      <w:start w:val="1"/>
      <w:numFmt w:val="lowerRoman"/>
      <w:lvlText w:val="%3."/>
      <w:lvlJc w:val="right"/>
      <w:pPr>
        <w:ind w:left="2441" w:hanging="180"/>
      </w:pPr>
    </w:lvl>
    <w:lvl w:ilvl="3" w:tplc="0405000F" w:tentative="1">
      <w:start w:val="1"/>
      <w:numFmt w:val="decimal"/>
      <w:lvlText w:val="%4."/>
      <w:lvlJc w:val="left"/>
      <w:pPr>
        <w:ind w:left="3161" w:hanging="360"/>
      </w:pPr>
    </w:lvl>
    <w:lvl w:ilvl="4" w:tplc="04050019" w:tentative="1">
      <w:start w:val="1"/>
      <w:numFmt w:val="lowerLetter"/>
      <w:lvlText w:val="%5."/>
      <w:lvlJc w:val="left"/>
      <w:pPr>
        <w:ind w:left="3881" w:hanging="360"/>
      </w:pPr>
    </w:lvl>
    <w:lvl w:ilvl="5" w:tplc="0405001B" w:tentative="1">
      <w:start w:val="1"/>
      <w:numFmt w:val="lowerRoman"/>
      <w:lvlText w:val="%6."/>
      <w:lvlJc w:val="right"/>
      <w:pPr>
        <w:ind w:left="4601" w:hanging="180"/>
      </w:pPr>
    </w:lvl>
    <w:lvl w:ilvl="6" w:tplc="0405000F" w:tentative="1">
      <w:start w:val="1"/>
      <w:numFmt w:val="decimal"/>
      <w:lvlText w:val="%7."/>
      <w:lvlJc w:val="left"/>
      <w:pPr>
        <w:ind w:left="5321" w:hanging="360"/>
      </w:pPr>
    </w:lvl>
    <w:lvl w:ilvl="7" w:tplc="04050019" w:tentative="1">
      <w:start w:val="1"/>
      <w:numFmt w:val="lowerLetter"/>
      <w:lvlText w:val="%8."/>
      <w:lvlJc w:val="left"/>
      <w:pPr>
        <w:ind w:left="6041" w:hanging="360"/>
      </w:pPr>
    </w:lvl>
    <w:lvl w:ilvl="8" w:tplc="040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2" w15:restartNumberingAfterBreak="0">
    <w:nsid w:val="4E140C14"/>
    <w:multiLevelType w:val="hybridMultilevel"/>
    <w:tmpl w:val="F39A089A"/>
    <w:lvl w:ilvl="0" w:tplc="6E7AB4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1C726A"/>
    <w:multiLevelType w:val="hybridMultilevel"/>
    <w:tmpl w:val="DE5CFF12"/>
    <w:lvl w:ilvl="0" w:tplc="8766C38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1D94736"/>
    <w:multiLevelType w:val="hybridMultilevel"/>
    <w:tmpl w:val="3D6820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6965D2"/>
    <w:multiLevelType w:val="hybridMultilevel"/>
    <w:tmpl w:val="E56A9D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21341A"/>
    <w:multiLevelType w:val="hybridMultilevel"/>
    <w:tmpl w:val="26169D00"/>
    <w:lvl w:ilvl="0" w:tplc="4A4A8AB6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6"/>
  </w:num>
  <w:num w:numId="5">
    <w:abstractNumId w:val="13"/>
  </w:num>
  <w:num w:numId="6">
    <w:abstractNumId w:val="9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7"/>
  </w:num>
  <w:num w:numId="12">
    <w:abstractNumId w:val="2"/>
  </w:num>
  <w:num w:numId="13">
    <w:abstractNumId w:val="15"/>
  </w:num>
  <w:num w:numId="14">
    <w:abstractNumId w:val="8"/>
  </w:num>
  <w:num w:numId="15">
    <w:abstractNumId w:val="3"/>
  </w:num>
  <w:num w:numId="16">
    <w:abstractNumId w:val="1"/>
  </w:num>
  <w:num w:numId="1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0F"/>
    <w:rsid w:val="00105254"/>
    <w:rsid w:val="00114D1A"/>
    <w:rsid w:val="001301AB"/>
    <w:rsid w:val="001464AA"/>
    <w:rsid w:val="0015025E"/>
    <w:rsid w:val="001B1266"/>
    <w:rsid w:val="001D7172"/>
    <w:rsid w:val="001E5BEC"/>
    <w:rsid w:val="001F7E0D"/>
    <w:rsid w:val="00213A68"/>
    <w:rsid w:val="0025590F"/>
    <w:rsid w:val="0027539F"/>
    <w:rsid w:val="002E1781"/>
    <w:rsid w:val="00305ECE"/>
    <w:rsid w:val="00311DC0"/>
    <w:rsid w:val="0036603E"/>
    <w:rsid w:val="003A1024"/>
    <w:rsid w:val="003C1991"/>
    <w:rsid w:val="003C5F19"/>
    <w:rsid w:val="0046401A"/>
    <w:rsid w:val="004E6B1D"/>
    <w:rsid w:val="00555B25"/>
    <w:rsid w:val="005B6132"/>
    <w:rsid w:val="00614A6E"/>
    <w:rsid w:val="00621387"/>
    <w:rsid w:val="006237D7"/>
    <w:rsid w:val="006C3DBF"/>
    <w:rsid w:val="0074301C"/>
    <w:rsid w:val="00767174"/>
    <w:rsid w:val="007A4BBA"/>
    <w:rsid w:val="007B2774"/>
    <w:rsid w:val="00825BA2"/>
    <w:rsid w:val="008327DC"/>
    <w:rsid w:val="008505B1"/>
    <w:rsid w:val="008B07B1"/>
    <w:rsid w:val="008B0B43"/>
    <w:rsid w:val="008E68EB"/>
    <w:rsid w:val="00B11DEF"/>
    <w:rsid w:val="00C5336B"/>
    <w:rsid w:val="00C67338"/>
    <w:rsid w:val="00C673C2"/>
    <w:rsid w:val="00C70619"/>
    <w:rsid w:val="00C74D54"/>
    <w:rsid w:val="00C7734C"/>
    <w:rsid w:val="00CC587F"/>
    <w:rsid w:val="00CD3027"/>
    <w:rsid w:val="00D30B98"/>
    <w:rsid w:val="00D41836"/>
    <w:rsid w:val="00E35F60"/>
    <w:rsid w:val="00E73E02"/>
    <w:rsid w:val="00F406E5"/>
    <w:rsid w:val="00F5654F"/>
    <w:rsid w:val="00F7646F"/>
    <w:rsid w:val="00F77795"/>
    <w:rsid w:val="00FE5538"/>
    <w:rsid w:val="00FE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AD70E-17A8-4084-AC60-7635652C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6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B27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qFormat/>
    <w:rsid w:val="007B2774"/>
    <w:pPr>
      <w:keepNext/>
      <w:keepLines/>
      <w:spacing w:before="200" w:line="240" w:lineRule="atLeast"/>
      <w:jc w:val="both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F7646F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F7646F"/>
    <w:rPr>
      <w:rFonts w:ascii="Times New Roman" w:eastAsia="Times New Roman" w:hAnsi="Times New Roman" w:cs="Times New Roman"/>
      <w:i/>
      <w:iCs/>
      <w:sz w:val="24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F7646F"/>
    <w:pPr>
      <w:spacing w:after="0" w:line="240" w:lineRule="auto"/>
    </w:pPr>
    <w:rPr>
      <w:rFonts w:ascii="Calibri" w:eastAsia="Calibri" w:hAnsi="Calibri" w:cs="Times New Roman"/>
      <w:noProof/>
    </w:rPr>
  </w:style>
  <w:style w:type="paragraph" w:styleId="Odstavecseseznamem">
    <w:name w:val="List Paragraph"/>
    <w:basedOn w:val="Normln"/>
    <w:uiPriority w:val="34"/>
    <w:qFormat/>
    <w:rsid w:val="00F7646F"/>
    <w:pPr>
      <w:ind w:left="720"/>
      <w:contextualSpacing/>
    </w:pPr>
  </w:style>
  <w:style w:type="table" w:styleId="Mkatabulky">
    <w:name w:val="Table Grid"/>
    <w:basedOn w:val="Normlntabulka"/>
    <w:uiPriority w:val="39"/>
    <w:rsid w:val="00F76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99"/>
    <w:locked/>
    <w:rsid w:val="00F7646F"/>
    <w:rPr>
      <w:rFonts w:ascii="Calibri" w:eastAsia="Calibri" w:hAnsi="Calibri" w:cs="Times New Roman"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33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36B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1D7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E63E7"/>
    <w:rPr>
      <w:b/>
      <w:bCs/>
    </w:rPr>
  </w:style>
  <w:style w:type="paragraph" w:customStyle="1" w:styleId="Text">
    <w:name w:val="Text"/>
    <w:basedOn w:val="Normln"/>
    <w:rsid w:val="007B2774"/>
    <w:pPr>
      <w:autoSpaceDE w:val="0"/>
      <w:autoSpaceDN w:val="0"/>
      <w:spacing w:before="60"/>
      <w:jc w:val="both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7B277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7B2774"/>
    <w:rPr>
      <w:rFonts w:ascii="Cambria" w:eastAsia="Times New Roman" w:hAnsi="Cambria" w:cs="Times New Roman"/>
      <w:color w:val="40404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B2774"/>
    <w:rPr>
      <w:color w:val="0000FF"/>
      <w:u w:val="single"/>
    </w:rPr>
  </w:style>
  <w:style w:type="paragraph" w:styleId="Seznamsodrkami">
    <w:name w:val="List Bullet"/>
    <w:basedOn w:val="Normln"/>
    <w:autoRedefine/>
    <w:semiHidden/>
    <w:unhideWhenUsed/>
    <w:rsid w:val="007B2774"/>
    <w:pPr>
      <w:autoSpaceDE w:val="0"/>
      <w:autoSpaceDN w:val="0"/>
      <w:spacing w:before="60" w:after="200"/>
      <w:ind w:left="284" w:hanging="284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B277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7B2774"/>
    <w:rPr>
      <w:rFonts w:ascii="Arial" w:eastAsia="Times New Roman" w:hAnsi="Arial" w:cs="Arial"/>
      <w:lang w:eastAsia="cs-CZ"/>
    </w:rPr>
  </w:style>
  <w:style w:type="paragraph" w:customStyle="1" w:styleId="tabulka">
    <w:name w:val="tabulka"/>
    <w:basedOn w:val="Normln"/>
    <w:next w:val="Normln"/>
    <w:rsid w:val="007B2774"/>
    <w:pPr>
      <w:jc w:val="both"/>
    </w:pPr>
    <w:rPr>
      <w:rFonts w:ascii="Arial Narrow" w:hAnsi="Arial Narrow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rsid w:val="007B277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7B2774"/>
    <w:rPr>
      <w:rFonts w:ascii="Arial" w:eastAsia="Times New Roman" w:hAnsi="Arial" w:cs="Arial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B2774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7B2774"/>
    <w:rPr>
      <w:rFonts w:ascii="Consolas" w:hAnsi="Consolas"/>
      <w:sz w:val="21"/>
      <w:szCs w:val="21"/>
    </w:rPr>
  </w:style>
  <w:style w:type="paragraph" w:customStyle="1" w:styleId="Normal11">
    <w:name w:val="Normal11"/>
    <w:basedOn w:val="Normln"/>
    <w:link w:val="Normal11Char1"/>
    <w:rsid w:val="007B2774"/>
    <w:pPr>
      <w:tabs>
        <w:tab w:val="left" w:pos="680"/>
      </w:tabs>
      <w:suppressAutoHyphens/>
      <w:spacing w:before="120" w:after="120"/>
      <w:jc w:val="both"/>
    </w:pPr>
    <w:rPr>
      <w:kern w:val="16"/>
      <w:szCs w:val="20"/>
    </w:rPr>
  </w:style>
  <w:style w:type="character" w:customStyle="1" w:styleId="Normal11Char1">
    <w:name w:val="Normal11 Char1"/>
    <w:link w:val="Normal11"/>
    <w:rsid w:val="007B2774"/>
    <w:rPr>
      <w:rFonts w:ascii="Times New Roman" w:eastAsia="Times New Roman" w:hAnsi="Times New Roman" w:cs="Times New Roman"/>
      <w:kern w:val="16"/>
      <w:sz w:val="24"/>
      <w:szCs w:val="20"/>
      <w:lang w:eastAsia="cs-CZ"/>
    </w:rPr>
  </w:style>
  <w:style w:type="paragraph" w:styleId="Seznam">
    <w:name w:val="List"/>
    <w:basedOn w:val="Normln"/>
    <w:rsid w:val="007B2774"/>
    <w:pPr>
      <w:spacing w:before="80" w:after="80"/>
      <w:ind w:left="646" w:hanging="646"/>
      <w:jc w:val="both"/>
    </w:pPr>
    <w:rPr>
      <w:rFonts w:ascii="Arial" w:hAnsi="Arial"/>
      <w:sz w:val="20"/>
    </w:rPr>
  </w:style>
  <w:style w:type="paragraph" w:styleId="Seznam2">
    <w:name w:val="List 2"/>
    <w:basedOn w:val="Normln"/>
    <w:uiPriority w:val="99"/>
    <w:unhideWhenUsed/>
    <w:rsid w:val="007B2774"/>
    <w:pPr>
      <w:ind w:left="566" w:hanging="283"/>
      <w:contextualSpacing/>
    </w:pPr>
    <w:rPr>
      <w:rFonts w:ascii="Arial" w:hAnsi="Arial" w:cs="Arial"/>
      <w:sz w:val="22"/>
      <w:szCs w:val="22"/>
    </w:rPr>
  </w:style>
  <w:style w:type="paragraph" w:styleId="Textpoznpodarou">
    <w:name w:val="footnote text"/>
    <w:aliases w:val="Schriftart: 9 pt,Schriftart: 10 pt,Schriftart: 8 pt,pozn. pod čarou"/>
    <w:basedOn w:val="Normln"/>
    <w:link w:val="TextpoznpodarouChar"/>
    <w:semiHidden/>
    <w:rsid w:val="007B2774"/>
    <w:pPr>
      <w:spacing w:before="40" w:after="40" w:line="264" w:lineRule="auto"/>
      <w:jc w:val="both"/>
    </w:pPr>
    <w:rPr>
      <w:rFonts w:ascii="Arial" w:hAnsi="Arial"/>
      <w:sz w:val="16"/>
      <w:szCs w:val="20"/>
      <w:lang w:eastAsia="en-US"/>
    </w:rPr>
  </w:style>
  <w:style w:type="character" w:customStyle="1" w:styleId="TextpoznpodarouChar">
    <w:name w:val="Text pozn. pod čarou Char"/>
    <w:aliases w:val="Schriftart: 9 pt Char,Schriftart: 10 pt Char,Schriftart: 8 pt Char,pozn. pod čarou Char"/>
    <w:basedOn w:val="Standardnpsmoodstavce"/>
    <w:link w:val="Textpoznpodarou"/>
    <w:semiHidden/>
    <w:rsid w:val="007B2774"/>
    <w:rPr>
      <w:rFonts w:ascii="Arial" w:eastAsia="Times New Roman" w:hAnsi="Arial" w:cs="Times New Roman"/>
      <w:sz w:val="16"/>
      <w:szCs w:val="20"/>
    </w:rPr>
  </w:style>
  <w:style w:type="character" w:styleId="Znakapoznpodarou">
    <w:name w:val="footnote reference"/>
    <w:semiHidden/>
    <w:rsid w:val="007B2774"/>
    <w:rPr>
      <w:rFonts w:ascii="Arial" w:hAnsi="Arial"/>
      <w:dstrike w:val="0"/>
      <w:color w:val="FF0000"/>
      <w:sz w:val="20"/>
      <w:vertAlign w:val="superscript"/>
    </w:rPr>
  </w:style>
  <w:style w:type="paragraph" w:customStyle="1" w:styleId="Default">
    <w:name w:val="Default"/>
    <w:rsid w:val="007B27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ezmezer1">
    <w:name w:val="Bez mezer1"/>
    <w:rsid w:val="008505B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dstavecseseznamem1">
    <w:name w:val="Odstavec se seznamem1"/>
    <w:basedOn w:val="Normln"/>
    <w:rsid w:val="008505B1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gmar.korcova@svitav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vitavy.cz/obcan-a-urad/informace/uzemni-pla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2277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Korcová</dc:creator>
  <cp:lastModifiedBy>Renata Klemšová</cp:lastModifiedBy>
  <cp:revision>8</cp:revision>
  <cp:lastPrinted>2022-12-06T10:15:00Z</cp:lastPrinted>
  <dcterms:created xsi:type="dcterms:W3CDTF">2023-01-23T11:37:00Z</dcterms:created>
  <dcterms:modified xsi:type="dcterms:W3CDTF">2023-03-03T07:24:00Z</dcterms:modified>
</cp:coreProperties>
</file>