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01A" w:rsidRDefault="00F5118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</w:pPr>
      <w:r>
        <w:pict w14:anchorId="20AF13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0pt;height:50pt;z-index:251658240;visibility:hidden">
            <v:path o:extrusionok="t"/>
            <o:lock v:ext="edit" selection="t"/>
          </v:shape>
        </w:pict>
      </w:r>
    </w:p>
    <w:p w:rsidR="0023601A" w:rsidRPr="00891E23" w:rsidRDefault="00891E23" w:rsidP="00891E2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right"/>
        <w:rPr>
          <w:rFonts w:ascii="Arial" w:hAnsi="Arial" w:cs="Arial"/>
          <w:b/>
        </w:rPr>
      </w:pPr>
      <w:r w:rsidRPr="00891E23">
        <w:rPr>
          <w:rFonts w:ascii="Arial" w:hAnsi="Arial" w:cs="Arial"/>
          <w:b/>
        </w:rPr>
        <w:t>2.4.</w:t>
      </w:r>
    </w:p>
    <w:p w:rsidR="0023601A" w:rsidRDefault="00F5118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700"/>
          <w:tab w:val="right" w:pos="8928"/>
        </w:tabs>
        <w:spacing w:line="240" w:lineRule="auto"/>
        <w:ind w:left="0" w:right="144" w:hanging="2"/>
        <w:rPr>
          <w:rFonts w:ascii="Arial" w:eastAsia="Arial" w:hAnsi="Arial" w:cs="Arial"/>
          <w:color w:val="000000"/>
        </w:rPr>
      </w:pPr>
      <w:r>
        <w:rPr>
          <w:noProof/>
          <w:color w:val="000000"/>
        </w:rPr>
        <w:drawing>
          <wp:anchor distT="0" distB="0" distL="0" distR="0" simplePos="0" relativeHeight="251657216" behindDoc="0" locked="0" layoutInCell="1" hidden="0" allowOverlap="1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0" t="0" r="0" b="0"/>
            <wp:wrapSquare wrapText="bothSides" distT="0" distB="0" distL="0" distR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b/>
        </w:rPr>
        <w:t>Odbor kancelář starosty a tajemníka</w:t>
      </w:r>
      <w:r>
        <w:rPr>
          <w:rFonts w:ascii="Arial" w:eastAsia="Arial" w:hAnsi="Arial" w:cs="Arial"/>
          <w:b/>
          <w:color w:val="000000"/>
        </w:rPr>
        <w:t xml:space="preserve"> </w:t>
      </w:r>
      <w:r>
        <w:rPr>
          <w:rFonts w:ascii="Arial" w:eastAsia="Arial" w:hAnsi="Arial" w:cs="Arial"/>
          <w:b/>
          <w:color w:val="000000"/>
        </w:rPr>
        <w:tab/>
      </w:r>
    </w:p>
    <w:p w:rsidR="0023601A" w:rsidRDefault="0023601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44" w:hanging="2"/>
        <w:jc w:val="both"/>
        <w:rPr>
          <w:rFonts w:ascii="Arial" w:eastAsia="Arial" w:hAnsi="Arial" w:cs="Arial"/>
          <w:color w:val="000000"/>
        </w:rPr>
      </w:pPr>
    </w:p>
    <w:p w:rsidR="0023601A" w:rsidRDefault="0023601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44" w:hanging="2"/>
        <w:jc w:val="both"/>
        <w:rPr>
          <w:rFonts w:ascii="Arial" w:eastAsia="Arial" w:hAnsi="Arial" w:cs="Arial"/>
          <w:color w:val="000000"/>
        </w:rPr>
      </w:pPr>
    </w:p>
    <w:p w:rsidR="0023601A" w:rsidRDefault="00F5118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700"/>
        </w:tabs>
        <w:spacing w:line="240" w:lineRule="auto"/>
        <w:ind w:left="0" w:right="144" w:hanging="2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Pro jednání zastupitelstva města dne: </w:t>
      </w: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  <w:color w:val="000000"/>
        </w:rPr>
        <w:t>.</w:t>
      </w:r>
      <w:r>
        <w:rPr>
          <w:rFonts w:ascii="Arial" w:eastAsia="Arial" w:hAnsi="Arial" w:cs="Arial"/>
        </w:rPr>
        <w:t>11</w:t>
      </w:r>
      <w:r>
        <w:rPr>
          <w:rFonts w:ascii="Arial" w:eastAsia="Arial" w:hAnsi="Arial" w:cs="Arial"/>
          <w:color w:val="000000"/>
        </w:rPr>
        <w:t xml:space="preserve">.2020 </w:t>
      </w:r>
    </w:p>
    <w:p w:rsidR="0023601A" w:rsidRDefault="00F5118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44" w:hanging="2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Zpracoval: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  <w:t>Ing. Vojtěch Fadrný</w:t>
      </w:r>
    </w:p>
    <w:p w:rsidR="0023601A" w:rsidRDefault="00F51184" w:rsidP="00F5118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right="144" w:firstLineChars="0" w:firstLine="1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                             </w:t>
      </w:r>
      <w:bookmarkStart w:id="0" w:name="_GoBack"/>
      <w:bookmarkEnd w:id="0"/>
      <w:r>
        <w:rPr>
          <w:rFonts w:ascii="Arial" w:eastAsia="Arial" w:hAnsi="Arial" w:cs="Arial"/>
          <w:color w:val="000000"/>
        </w:rPr>
        <w:t>Předkládá: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  <w:t>Ing. Vojtěch Fadrný</w:t>
      </w:r>
    </w:p>
    <w:p w:rsidR="0023601A" w:rsidRDefault="0023601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44" w:hanging="2"/>
        <w:jc w:val="both"/>
        <w:rPr>
          <w:rFonts w:ascii="Arial" w:eastAsia="Arial" w:hAnsi="Arial" w:cs="Arial"/>
          <w:color w:val="000000"/>
        </w:rPr>
      </w:pPr>
    </w:p>
    <w:p w:rsidR="0023601A" w:rsidRDefault="0023601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44" w:hanging="2"/>
        <w:jc w:val="both"/>
        <w:rPr>
          <w:rFonts w:ascii="Arial" w:eastAsia="Arial" w:hAnsi="Arial" w:cs="Arial"/>
          <w:color w:val="000000"/>
        </w:rPr>
      </w:pPr>
    </w:p>
    <w:p w:rsidR="0023601A" w:rsidRDefault="0023601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144" w:hanging="3"/>
        <w:jc w:val="both"/>
        <w:rPr>
          <w:rFonts w:ascii="Arial" w:eastAsia="Arial" w:hAnsi="Arial" w:cs="Arial"/>
          <w:color w:val="000000"/>
          <w:sz w:val="28"/>
          <w:szCs w:val="28"/>
          <w:u w:val="single"/>
        </w:rPr>
      </w:pPr>
    </w:p>
    <w:p w:rsidR="0023601A" w:rsidRDefault="00F5118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144" w:hanging="3"/>
        <w:jc w:val="both"/>
        <w:rPr>
          <w:rFonts w:ascii="Arial" w:eastAsia="Arial" w:hAnsi="Arial" w:cs="Arial"/>
          <w:color w:val="000000"/>
          <w:sz w:val="28"/>
          <w:szCs w:val="28"/>
          <w:u w:val="single"/>
        </w:rPr>
      </w:pPr>
      <w:r>
        <w:rPr>
          <w:rFonts w:ascii="Arial" w:eastAsia="Arial" w:hAnsi="Arial" w:cs="Arial"/>
          <w:b/>
          <w:sz w:val="28"/>
          <w:szCs w:val="28"/>
          <w:u w:val="single"/>
        </w:rPr>
        <w:t>Transparentní hospodaření města do detailu každé faktury</w:t>
      </w:r>
      <w:r>
        <w:rPr>
          <w:rFonts w:ascii="Arial" w:eastAsia="Arial" w:hAnsi="Arial" w:cs="Arial"/>
          <w:b/>
          <w:color w:val="000000"/>
          <w:sz w:val="28"/>
          <w:szCs w:val="28"/>
          <w:u w:val="single"/>
        </w:rPr>
        <w:t xml:space="preserve"> </w:t>
      </w:r>
    </w:p>
    <w:p w:rsidR="0023601A" w:rsidRDefault="0023601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44" w:hanging="2"/>
        <w:jc w:val="both"/>
        <w:rPr>
          <w:rFonts w:ascii="Arial" w:eastAsia="Arial" w:hAnsi="Arial" w:cs="Arial"/>
          <w:color w:val="000000"/>
        </w:rPr>
      </w:pPr>
    </w:p>
    <w:p w:rsidR="0023601A" w:rsidRDefault="00F5118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44" w:hanging="2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Důvodová zpráva:</w:t>
      </w:r>
    </w:p>
    <w:p w:rsidR="0023601A" w:rsidRDefault="0023601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144" w:hanging="3"/>
        <w:jc w:val="both"/>
        <w:rPr>
          <w:rFonts w:ascii="Arial" w:eastAsia="Arial" w:hAnsi="Arial" w:cs="Arial"/>
          <w:color w:val="000000"/>
          <w:sz w:val="28"/>
          <w:szCs w:val="28"/>
          <w:u w:val="single"/>
        </w:rPr>
      </w:pPr>
    </w:p>
    <w:p w:rsidR="0023601A" w:rsidRDefault="00F51184">
      <w:pPr>
        <w:spacing w:line="276" w:lineRule="auto"/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Navrhujeme, aby bylo vypracováno odborné stanovisko ohledně zapojení města Svitavy do systému </w:t>
      </w:r>
      <w:proofErr w:type="spellStart"/>
      <w:r>
        <w:rPr>
          <w:rFonts w:ascii="Arial" w:eastAsia="Arial" w:hAnsi="Arial" w:cs="Arial"/>
          <w:sz w:val="22"/>
          <w:szCs w:val="22"/>
        </w:rPr>
        <w:t>CityVizor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. </w:t>
      </w:r>
    </w:p>
    <w:p w:rsidR="0023601A" w:rsidRDefault="0023601A">
      <w:pPr>
        <w:spacing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:rsidR="0023601A" w:rsidRDefault="00F51184">
      <w:pPr>
        <w:spacing w:line="276" w:lineRule="auto"/>
        <w:ind w:left="0" w:hanging="2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b/>
          <w:sz w:val="22"/>
          <w:szCs w:val="22"/>
        </w:rPr>
        <w:t>CityVizor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je webová stránka, která </w:t>
      </w:r>
      <w:r>
        <w:rPr>
          <w:rFonts w:ascii="Arial" w:eastAsia="Arial" w:hAnsi="Arial" w:cs="Arial"/>
          <w:b/>
          <w:sz w:val="22"/>
          <w:szCs w:val="22"/>
        </w:rPr>
        <w:t>přehledně zobrazuje hospodaření</w:t>
      </w:r>
      <w:r>
        <w:rPr>
          <w:rFonts w:ascii="Arial" w:eastAsia="Arial" w:hAnsi="Arial" w:cs="Arial"/>
          <w:sz w:val="22"/>
          <w:szCs w:val="22"/>
        </w:rPr>
        <w:t xml:space="preserve"> každé aktivně zapojené obce. Využívá vybraná data z účetního systému dané obce, kt</w:t>
      </w:r>
      <w:r>
        <w:rPr>
          <w:rFonts w:ascii="Arial" w:eastAsia="Arial" w:hAnsi="Arial" w:cs="Arial"/>
          <w:sz w:val="22"/>
          <w:szCs w:val="22"/>
        </w:rPr>
        <w:t>erá zobrazuje v přehledných grafech.</w:t>
      </w:r>
    </w:p>
    <w:p w:rsidR="0023601A" w:rsidRDefault="0023601A">
      <w:pPr>
        <w:spacing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:rsidR="0023601A" w:rsidRDefault="00F51184">
      <w:pPr>
        <w:spacing w:line="276" w:lineRule="auto"/>
        <w:ind w:left="0" w:hanging="2"/>
        <w:rPr>
          <w:rFonts w:ascii="Arial" w:eastAsia="Arial" w:hAnsi="Arial" w:cs="Arial"/>
        </w:rPr>
      </w:pPr>
      <w:r>
        <w:rPr>
          <w:rFonts w:ascii="Arial" w:eastAsia="Arial" w:hAnsi="Arial" w:cs="Arial"/>
          <w:sz w:val="22"/>
          <w:szCs w:val="22"/>
        </w:rPr>
        <w:t xml:space="preserve">Tuto webovou stránku může využít pracovník obce nebo občan, který se o hospodaření obce zajímá. Oproti ostatním zobrazuje příjmy a výdaje </w:t>
      </w:r>
      <w:r>
        <w:rPr>
          <w:rFonts w:ascii="Arial" w:eastAsia="Arial" w:hAnsi="Arial" w:cs="Arial"/>
          <w:b/>
          <w:sz w:val="22"/>
          <w:szCs w:val="22"/>
        </w:rPr>
        <w:t>do detailu každé faktury</w:t>
      </w:r>
      <w:r>
        <w:rPr>
          <w:rFonts w:ascii="Arial" w:eastAsia="Arial" w:hAnsi="Arial" w:cs="Arial"/>
          <w:sz w:val="22"/>
          <w:szCs w:val="22"/>
        </w:rPr>
        <w:t xml:space="preserve"> a věrně tak zobrazuje skutečnost. Navíc sdružuje na jed</w:t>
      </w:r>
      <w:r>
        <w:rPr>
          <w:rFonts w:ascii="Arial" w:eastAsia="Arial" w:hAnsi="Arial" w:cs="Arial"/>
          <w:sz w:val="22"/>
          <w:szCs w:val="22"/>
        </w:rPr>
        <w:t>nom místě informace o rozpočtu obce, jeho průběžném plnění a informace z úřední desky obce (</w:t>
      </w:r>
      <w:proofErr w:type="spellStart"/>
      <w:r>
        <w:rPr>
          <w:rFonts w:ascii="Arial" w:eastAsia="Arial" w:hAnsi="Arial" w:cs="Arial"/>
          <w:sz w:val="22"/>
          <w:szCs w:val="22"/>
        </w:rPr>
        <w:t>edesky</w:t>
      </w:r>
      <w:proofErr w:type="spellEnd"/>
      <w:r>
        <w:rPr>
          <w:rFonts w:ascii="Arial" w:eastAsia="Arial" w:hAnsi="Arial" w:cs="Arial"/>
          <w:sz w:val="22"/>
          <w:szCs w:val="22"/>
        </w:rPr>
        <w:t>) a z Registru smluv.</w:t>
      </w:r>
    </w:p>
    <w:p w:rsidR="0023601A" w:rsidRDefault="0023601A">
      <w:pPr>
        <w:spacing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:rsidR="0023601A" w:rsidRDefault="00F51184">
      <w:pPr>
        <w:spacing w:line="276" w:lineRule="auto"/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Cílem projektu </w:t>
      </w:r>
      <w:proofErr w:type="spellStart"/>
      <w:r>
        <w:rPr>
          <w:rFonts w:ascii="Arial" w:eastAsia="Arial" w:hAnsi="Arial" w:cs="Arial"/>
          <w:sz w:val="22"/>
          <w:szCs w:val="22"/>
        </w:rPr>
        <w:t>CityVizor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je nabídnout městům a obcím jednoduchou možnost vizualizovat data o hospodaření a dát je do kontextu takovým z</w:t>
      </w:r>
      <w:r>
        <w:rPr>
          <w:rFonts w:ascii="Arial" w:eastAsia="Arial" w:hAnsi="Arial" w:cs="Arial"/>
          <w:sz w:val="22"/>
          <w:szCs w:val="22"/>
        </w:rPr>
        <w:t>působem, aby byla srozumitelná pro širší veřejnost. Využití aplikace je nabízeno zdarma každému městu nebo obci, které projeví zájem se zapojit. Je postavena na principu sdílené služby a provoz zajištuje spolek Otevřených měst. Aplikace byla vyvinuta praco</w:t>
      </w:r>
      <w:r>
        <w:rPr>
          <w:rFonts w:ascii="Arial" w:eastAsia="Arial" w:hAnsi="Arial" w:cs="Arial"/>
          <w:sz w:val="22"/>
          <w:szCs w:val="22"/>
        </w:rPr>
        <w:t>vníky Ministerstva financí.</w:t>
      </w:r>
    </w:p>
    <w:p w:rsidR="0023601A" w:rsidRDefault="0023601A">
      <w:pPr>
        <w:spacing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:rsidR="0023601A" w:rsidRDefault="0023601A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23601A" w:rsidRDefault="0023601A">
      <w:pPr>
        <w:spacing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:rsidR="0023601A" w:rsidRDefault="0023601A">
      <w:pPr>
        <w:spacing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:rsidR="0023601A" w:rsidRDefault="0023601A">
      <w:pPr>
        <w:spacing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:rsidR="0023601A" w:rsidRDefault="0023601A">
      <w:pPr>
        <w:spacing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:rsidR="0023601A" w:rsidRDefault="0023601A">
      <w:pPr>
        <w:spacing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:rsidR="0023601A" w:rsidRDefault="00F51184">
      <w:pPr>
        <w:spacing w:line="276" w:lineRule="auto"/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</w:t>
      </w:r>
    </w:p>
    <w:p w:rsidR="0023601A" w:rsidRDefault="00F511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Návrh na usnesení</w:t>
      </w:r>
      <w:r>
        <w:rPr>
          <w:rFonts w:ascii="Arial" w:eastAsia="Arial" w:hAnsi="Arial" w:cs="Arial"/>
          <w:color w:val="000000"/>
        </w:rPr>
        <w:t>:</w:t>
      </w:r>
    </w:p>
    <w:p w:rsidR="0023601A" w:rsidRDefault="00F5118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44" w:hanging="2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Zastupitelstvo města</w:t>
      </w:r>
    </w:p>
    <w:p w:rsidR="0023601A" w:rsidRDefault="0023601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44" w:hanging="2"/>
        <w:jc w:val="both"/>
        <w:rPr>
          <w:rFonts w:ascii="Arial" w:eastAsia="Arial" w:hAnsi="Arial" w:cs="Arial"/>
        </w:rPr>
      </w:pPr>
    </w:p>
    <w:p w:rsidR="0023601A" w:rsidRDefault="00F5118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</w:rPr>
        <w:t xml:space="preserve">ukládá Radě města Svitavy </w:t>
      </w:r>
    </w:p>
    <w:p w:rsidR="0023601A" w:rsidRDefault="00F511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zajistit zpracování odborného stanoviska ohledně zapojení města Svitavy do systému </w:t>
      </w:r>
      <w:proofErr w:type="spellStart"/>
      <w:r>
        <w:rPr>
          <w:rFonts w:ascii="Arial" w:eastAsia="Arial" w:hAnsi="Arial" w:cs="Arial"/>
          <w:b/>
        </w:rPr>
        <w:t>CityVizor</w:t>
      </w:r>
      <w:proofErr w:type="spellEnd"/>
      <w:r>
        <w:rPr>
          <w:rFonts w:ascii="Arial" w:eastAsia="Arial" w:hAnsi="Arial" w:cs="Arial"/>
          <w:b/>
        </w:rPr>
        <w:t>. Termín vypracování 31.1.2021.</w:t>
      </w:r>
    </w:p>
    <w:p w:rsidR="0023601A" w:rsidRDefault="00F511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  </w:t>
      </w:r>
    </w:p>
    <w:p w:rsidR="0023601A" w:rsidRDefault="00F511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Z: </w:t>
      </w:r>
      <w:r>
        <w:rPr>
          <w:rFonts w:ascii="Arial" w:eastAsia="Arial" w:hAnsi="Arial" w:cs="Arial"/>
          <w:b/>
        </w:rPr>
        <w:t>starosta města</w:t>
      </w:r>
    </w:p>
    <w:sectPr w:rsidR="0023601A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0C2A91"/>
    <w:multiLevelType w:val="multilevel"/>
    <w:tmpl w:val="77CE9352"/>
    <w:lvl w:ilvl="0">
      <w:start w:val="1"/>
      <w:numFmt w:val="decimal"/>
      <w:pStyle w:val="slovanseznam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01A"/>
    <w:rsid w:val="0023601A"/>
    <w:rsid w:val="00891E23"/>
    <w:rsid w:val="00F51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75E8C2AB-46B3-4973-93D0-C01E1137D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Nadpis1">
    <w:name w:val="heading 1"/>
    <w:basedOn w:val="Normln"/>
    <w:next w:val="Normln"/>
    <w:pPr>
      <w:keepNext/>
      <w:widowControl w:val="0"/>
      <w:autoSpaceDE w:val="0"/>
      <w:autoSpaceDN w:val="0"/>
      <w:adjustRightInd w:val="0"/>
      <w:ind w:right="144"/>
      <w:jc w:val="both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1">
    <w:name w:val="Styl1"/>
    <w:basedOn w:val="slovanseznam"/>
    <w:next w:val="Seznamsodrkami"/>
    <w:pPr>
      <w:numPr>
        <w:numId w:val="0"/>
      </w:numPr>
      <w:ind w:leftChars="-1" w:left="-1" w:hangingChars="1" w:hanging="1"/>
      <w:jc w:val="both"/>
    </w:pPr>
  </w:style>
  <w:style w:type="paragraph" w:styleId="slovanseznam">
    <w:name w:val="List Number"/>
    <w:basedOn w:val="Normln"/>
    <w:pPr>
      <w:numPr>
        <w:numId w:val="1"/>
      </w:numPr>
      <w:ind w:left="-1" w:hanging="1"/>
    </w:pPr>
  </w:style>
  <w:style w:type="paragraph" w:styleId="Seznamsodrkami">
    <w:name w:val="List Bullet"/>
    <w:basedOn w:val="Normln"/>
    <w:pPr>
      <w:tabs>
        <w:tab w:val="num" w:pos="720"/>
      </w:tabs>
    </w:pPr>
  </w:style>
  <w:style w:type="paragraph" w:styleId="Zkladntext">
    <w:name w:val="Body Text"/>
    <w:basedOn w:val="Normln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ZhlavChar">
    <w:name w:val="Záhlaví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customStyle="1" w:styleId="ZpatChar">
    <w:name w:val="Zápatí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Zkladntext3Char">
    <w:name w:val="Základní text 3 Char"/>
    <w:rPr>
      <w:i/>
      <w:iCs/>
      <w:w w:val="100"/>
      <w:position w:val="-1"/>
      <w:sz w:val="24"/>
      <w:effect w:val="none"/>
      <w:vertAlign w:val="baseline"/>
      <w:cs w:val="0"/>
      <w:em w:val="none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F/YUKMFD/83cJWuuqQaxdm9jYQA==">AMUW2mXYUXuCKQi2fEc6IlNsYdRl6pnLbpxLFiHl1HeDFl9a05GaBLRaay9que/dyBqnwV2Tx8n8wnCPI/hMKWRnJYBdR6eVRDcGjyP3V0jyKl2BCdvjto8=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tepla</dc:creator>
  <cp:lastModifiedBy>Renata Klemšová</cp:lastModifiedBy>
  <cp:revision>3</cp:revision>
  <cp:lastPrinted>2020-10-26T12:13:00Z</cp:lastPrinted>
  <dcterms:created xsi:type="dcterms:W3CDTF">2020-06-05T07:56:00Z</dcterms:created>
  <dcterms:modified xsi:type="dcterms:W3CDTF">2020-10-26T12:13:00Z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